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BD" w:rsidRDefault="008024BD">
      <w:pPr>
        <w:spacing w:line="600" w:lineRule="exact"/>
        <w:jc w:val="center"/>
        <w:outlineLvl w:val="0"/>
        <w:rPr>
          <w:rFonts w:ascii="方正小标宋简体" w:eastAsia="方正小标宋简体" w:hAnsi="宋体"/>
          <w:sz w:val="72"/>
          <w:szCs w:val="72"/>
        </w:rPr>
      </w:pPr>
      <w:bookmarkStart w:id="0" w:name="_Toc15396475"/>
      <w:bookmarkStart w:id="1" w:name="_Toc15377193"/>
      <w:bookmarkStart w:id="2" w:name="_Toc15378441"/>
      <w:bookmarkStart w:id="3" w:name="_Toc15377425"/>
      <w:bookmarkStart w:id="4" w:name="_Toc15396597"/>
      <w:bookmarkStart w:id="5" w:name="_Toc15306267"/>
    </w:p>
    <w:p w:rsidR="008024BD" w:rsidRDefault="008024BD">
      <w:pPr>
        <w:spacing w:line="600" w:lineRule="exact"/>
        <w:jc w:val="center"/>
        <w:outlineLvl w:val="0"/>
        <w:rPr>
          <w:rFonts w:ascii="方正小标宋简体" w:eastAsia="方正小标宋简体" w:hAnsi="宋体"/>
          <w:sz w:val="72"/>
          <w:szCs w:val="72"/>
        </w:rPr>
      </w:pPr>
    </w:p>
    <w:p w:rsidR="008024BD" w:rsidRDefault="008024BD">
      <w:pPr>
        <w:spacing w:line="600" w:lineRule="exact"/>
        <w:jc w:val="center"/>
        <w:outlineLvl w:val="0"/>
        <w:rPr>
          <w:rFonts w:ascii="方正小标宋简体" w:eastAsia="方正小标宋简体" w:hAnsi="宋体"/>
          <w:sz w:val="72"/>
          <w:szCs w:val="72"/>
        </w:rPr>
      </w:pPr>
    </w:p>
    <w:p w:rsidR="008024BD" w:rsidRDefault="00C5568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24323"/>
      <w:bookmarkStart w:id="7" w:name="_Toc15708"/>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bookmarkEnd w:id="6"/>
      <w:bookmarkEnd w:id="7"/>
    </w:p>
    <w:p w:rsidR="008024BD" w:rsidRDefault="00C5568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8" w:name="_Toc3907"/>
      <w:bookmarkStart w:id="9" w:name="_Toc15396476"/>
      <w:bookmarkStart w:id="10" w:name="_Toc15377426"/>
      <w:bookmarkStart w:id="11" w:name="_Toc15396598"/>
      <w:bookmarkStart w:id="12" w:name="_Toc15377194"/>
      <w:bookmarkStart w:id="13" w:name="_Toc15306268"/>
      <w:bookmarkStart w:id="14" w:name="_Toc29293"/>
      <w:bookmarkStart w:id="15" w:name="_Toc15378442"/>
      <w:bookmarkEnd w:id="5"/>
      <w:r>
        <w:rPr>
          <w:rFonts w:ascii="方正小标宋简体" w:eastAsia="方正小标宋简体" w:hAnsi="方正小标宋简体" w:cs="方正小标宋简体" w:hint="eastAsia"/>
          <w:sz w:val="72"/>
          <w:szCs w:val="72"/>
        </w:rPr>
        <w:t>攀枝花市中西医结合医院部门决算</w:t>
      </w:r>
      <w:bookmarkEnd w:id="8"/>
      <w:bookmarkEnd w:id="9"/>
      <w:bookmarkEnd w:id="10"/>
      <w:bookmarkEnd w:id="11"/>
      <w:bookmarkEnd w:id="12"/>
      <w:bookmarkEnd w:id="13"/>
      <w:bookmarkEnd w:id="14"/>
      <w:bookmarkEnd w:id="15"/>
    </w:p>
    <w:p w:rsidR="008024BD" w:rsidRDefault="00C55684">
      <w:pPr>
        <w:widowControl/>
        <w:jc w:val="cente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024BD" w:rsidRDefault="008024BD">
      <w:pPr>
        <w:widowControl/>
        <w:jc w:val="center"/>
        <w:rPr>
          <w:rFonts w:ascii="黑体" w:eastAsia="黑体" w:hAnsi="黑体" w:cstheme="minorBidi"/>
          <w:sz w:val="28"/>
          <w:szCs w:val="28"/>
        </w:rPr>
      </w:pPr>
    </w:p>
    <w:p w:rsidR="008024BD" w:rsidRDefault="00C55684">
      <w:pPr>
        <w:pStyle w:val="10"/>
      </w:pPr>
      <w:r>
        <w:rPr>
          <w:rFonts w:hint="eastAsia"/>
        </w:rPr>
        <w:t>公开时间：</w:t>
      </w:r>
      <w:r w:rsidR="00BB5F01">
        <w:rPr>
          <w:rFonts w:hint="eastAsia"/>
        </w:rPr>
        <w:t>2023</w:t>
      </w:r>
      <w:r>
        <w:rPr>
          <w:rFonts w:hint="eastAsia"/>
        </w:rPr>
        <w:t>年</w:t>
      </w:r>
      <w:r w:rsidR="00BB5F01">
        <w:rPr>
          <w:rFonts w:hint="eastAsia"/>
        </w:rPr>
        <w:t>9</w:t>
      </w:r>
      <w:r>
        <w:rPr>
          <w:rFonts w:hint="eastAsia"/>
        </w:rPr>
        <w:t>月</w:t>
      </w:r>
      <w:r w:rsidR="00BB5F01">
        <w:rPr>
          <w:rFonts w:hint="eastAsia"/>
        </w:rPr>
        <w:t>13</w:t>
      </w:r>
      <w:r>
        <w:rPr>
          <w:rFonts w:hint="eastAsia"/>
        </w:rPr>
        <w:t>日</w:t>
      </w:r>
    </w:p>
    <w:p w:rsidR="008024BD" w:rsidRDefault="008024BD"/>
    <w:p w:rsidR="008024BD" w:rsidRDefault="00C55684">
      <w:pPr>
        <w:pStyle w:val="10"/>
        <w:tabs>
          <w:tab w:val="clear" w:pos="8296"/>
          <w:tab w:val="center" w:pos="4213"/>
          <w:tab w:val="left" w:pos="4942"/>
          <w:tab w:val="right" w:leader="dot" w:pos="8306"/>
        </w:tabs>
        <w:jc w:val="left"/>
      </w:pPr>
      <w:r>
        <w:rPr>
          <w:rFonts w:hint="eastAsia"/>
          <w:sz w:val="24"/>
        </w:rPr>
        <w:tab/>
      </w:r>
      <w:r>
        <w:rPr>
          <w:rFonts w:hint="eastAsia"/>
          <w:sz w:val="24"/>
        </w:rPr>
        <w:tab/>
      </w:r>
      <w:r>
        <w:rPr>
          <w:sz w:val="24"/>
        </w:rPr>
        <w:fldChar w:fldCharType="begin"/>
      </w:r>
      <w:r>
        <w:rPr>
          <w:sz w:val="24"/>
        </w:rPr>
        <w:instrText xml:space="preserve">TOC \o "1-2" \h \u </w:instrText>
      </w:r>
      <w:r>
        <w:rPr>
          <w:sz w:val="24"/>
        </w:rPr>
        <w:fldChar w:fldCharType="separate"/>
      </w:r>
    </w:p>
    <w:p w:rsidR="008024BD" w:rsidRDefault="00D72271">
      <w:pPr>
        <w:pStyle w:val="10"/>
        <w:tabs>
          <w:tab w:val="clear" w:pos="8296"/>
          <w:tab w:val="right" w:leader="dot" w:pos="8306"/>
        </w:tabs>
        <w:spacing w:line="440" w:lineRule="exact"/>
        <w:rPr>
          <w:rFonts w:ascii="宋体" w:eastAsia="宋体" w:hAnsi="宋体" w:cs="宋体"/>
          <w:sz w:val="24"/>
          <w:szCs w:val="24"/>
        </w:rPr>
      </w:pPr>
      <w:hyperlink w:anchor="_Toc17564" w:history="1">
        <w:r w:rsidR="00C55684">
          <w:rPr>
            <w:rFonts w:ascii="宋体" w:eastAsia="宋体" w:hAnsi="宋体" w:cs="宋体" w:hint="eastAsia"/>
            <w:sz w:val="24"/>
            <w:szCs w:val="24"/>
          </w:rPr>
          <w:t>第一部分 部门概况</w:t>
        </w:r>
        <w:r w:rsidR="00C55684">
          <w:rPr>
            <w:rFonts w:ascii="宋体" w:eastAsia="宋体" w:hAnsi="宋体" w:cs="宋体" w:hint="eastAsia"/>
            <w:sz w:val="24"/>
            <w:szCs w:val="24"/>
          </w:rPr>
          <w:tab/>
        </w:r>
        <w:r w:rsidR="00C55684">
          <w:rPr>
            <w:rFonts w:ascii="宋体" w:eastAsia="宋体" w:hAnsi="宋体" w:cs="宋体" w:hint="eastAsia"/>
            <w:sz w:val="24"/>
            <w:szCs w:val="24"/>
          </w:rPr>
          <w:fldChar w:fldCharType="begin"/>
        </w:r>
        <w:r w:rsidR="00C55684">
          <w:rPr>
            <w:rFonts w:ascii="宋体" w:eastAsia="宋体" w:hAnsi="宋体" w:cs="宋体" w:hint="eastAsia"/>
            <w:sz w:val="24"/>
            <w:szCs w:val="24"/>
          </w:rPr>
          <w:instrText xml:space="preserve"> PAGEREF _Toc17564 </w:instrText>
        </w:r>
        <w:r w:rsidR="00C55684">
          <w:rPr>
            <w:rFonts w:ascii="宋体" w:eastAsia="宋体" w:hAnsi="宋体" w:cs="宋体" w:hint="eastAsia"/>
            <w:sz w:val="24"/>
            <w:szCs w:val="24"/>
          </w:rPr>
          <w:fldChar w:fldCharType="separate"/>
        </w:r>
        <w:r w:rsidR="00C55684">
          <w:rPr>
            <w:rFonts w:ascii="宋体" w:eastAsia="宋体" w:hAnsi="宋体" w:cs="宋体" w:hint="eastAsia"/>
            <w:sz w:val="24"/>
            <w:szCs w:val="24"/>
          </w:rPr>
          <w:t>1</w:t>
        </w:r>
        <w:r w:rsidR="00C55684">
          <w:rPr>
            <w:rFonts w:ascii="宋体" w:eastAsia="宋体" w:hAnsi="宋体" w:cs="宋体" w:hint="eastAsia"/>
            <w:sz w:val="24"/>
            <w:szCs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26103" w:history="1">
        <w:r w:rsidR="00C55684">
          <w:rPr>
            <w:rFonts w:ascii="宋体" w:hAnsi="宋体" w:cs="宋体" w:hint="eastAsia"/>
            <w:sz w:val="24"/>
          </w:rPr>
          <w:t>一、部门职责</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_Toc26103 </w:instrText>
        </w:r>
        <w:r w:rsidR="00C55684">
          <w:rPr>
            <w:rFonts w:ascii="宋体" w:hAnsi="宋体" w:cs="宋体" w:hint="eastAsia"/>
            <w:sz w:val="24"/>
          </w:rPr>
          <w:fldChar w:fldCharType="separate"/>
        </w:r>
        <w:r w:rsidR="00C55684">
          <w:rPr>
            <w:rFonts w:ascii="宋体" w:hAnsi="宋体" w:cs="宋体" w:hint="eastAsia"/>
            <w:sz w:val="24"/>
          </w:rPr>
          <w:t>1</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7056" w:history="1">
        <w:r w:rsidR="00C55684">
          <w:rPr>
            <w:rFonts w:ascii="宋体" w:hAnsi="宋体" w:cs="宋体" w:hint="eastAsia"/>
            <w:sz w:val="24"/>
          </w:rPr>
          <w:t>二、机构设置</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_Toc17056 </w:instrText>
        </w:r>
        <w:r w:rsidR="00C55684">
          <w:rPr>
            <w:rFonts w:ascii="宋体" w:hAnsi="宋体" w:cs="宋体" w:hint="eastAsia"/>
            <w:sz w:val="24"/>
          </w:rPr>
          <w:fldChar w:fldCharType="separate"/>
        </w:r>
        <w:r w:rsidR="00C55684">
          <w:rPr>
            <w:rFonts w:ascii="宋体" w:hAnsi="宋体" w:cs="宋体" w:hint="eastAsia"/>
            <w:sz w:val="24"/>
          </w:rPr>
          <w:t>1</w:t>
        </w:r>
        <w:r w:rsidR="00C55684">
          <w:rPr>
            <w:rFonts w:ascii="宋体" w:hAnsi="宋体" w:cs="宋体" w:hint="eastAsia"/>
            <w:sz w:val="24"/>
          </w:rPr>
          <w:fldChar w:fldCharType="end"/>
        </w:r>
      </w:hyperlink>
    </w:p>
    <w:p w:rsidR="008024BD" w:rsidRDefault="00D72271">
      <w:pPr>
        <w:pStyle w:val="10"/>
        <w:tabs>
          <w:tab w:val="clear" w:pos="8296"/>
          <w:tab w:val="right" w:leader="dot" w:pos="8306"/>
        </w:tabs>
        <w:spacing w:line="440" w:lineRule="exact"/>
        <w:rPr>
          <w:rFonts w:ascii="宋体" w:eastAsia="宋体" w:hAnsi="宋体" w:cs="宋体"/>
          <w:sz w:val="24"/>
          <w:szCs w:val="24"/>
        </w:rPr>
      </w:pPr>
      <w:hyperlink w:anchor="_Toc4393" w:history="1">
        <w:r w:rsidR="00C55684">
          <w:rPr>
            <w:rFonts w:ascii="宋体" w:eastAsia="宋体" w:hAnsi="宋体" w:cs="宋体" w:hint="eastAsia"/>
            <w:sz w:val="24"/>
            <w:szCs w:val="24"/>
          </w:rPr>
          <w:t>第二部分 2022年度</w:t>
        </w:r>
        <w:r w:rsidR="00C55684">
          <w:rPr>
            <w:rFonts w:ascii="宋体" w:eastAsia="宋体" w:hAnsi="宋体" w:cs="宋体" w:hint="eastAsia"/>
            <w:bCs/>
            <w:sz w:val="24"/>
            <w:szCs w:val="24"/>
          </w:rPr>
          <w:t>部门决算情况说明</w:t>
        </w:r>
        <w:r w:rsidR="00C55684">
          <w:rPr>
            <w:rFonts w:ascii="宋体" w:eastAsia="宋体" w:hAnsi="宋体" w:cs="宋体" w:hint="eastAsia"/>
            <w:sz w:val="24"/>
            <w:szCs w:val="24"/>
          </w:rPr>
          <w:tab/>
        </w:r>
        <w:r w:rsidR="00C55684">
          <w:rPr>
            <w:rFonts w:ascii="宋体" w:eastAsia="宋体" w:hAnsi="宋体" w:cs="宋体" w:hint="eastAsia"/>
            <w:sz w:val="24"/>
            <w:szCs w:val="24"/>
          </w:rPr>
          <w:fldChar w:fldCharType="begin"/>
        </w:r>
        <w:r w:rsidR="00C55684">
          <w:rPr>
            <w:rFonts w:ascii="宋体" w:eastAsia="宋体" w:hAnsi="宋体" w:cs="宋体" w:hint="eastAsia"/>
            <w:sz w:val="24"/>
            <w:szCs w:val="24"/>
          </w:rPr>
          <w:instrText xml:space="preserve"> PAGEREF _Toc4393 </w:instrText>
        </w:r>
        <w:r w:rsidR="00C55684">
          <w:rPr>
            <w:rFonts w:ascii="宋体" w:eastAsia="宋体" w:hAnsi="宋体" w:cs="宋体" w:hint="eastAsia"/>
            <w:sz w:val="24"/>
            <w:szCs w:val="24"/>
          </w:rPr>
          <w:fldChar w:fldCharType="separate"/>
        </w:r>
        <w:r w:rsidR="00C55684">
          <w:rPr>
            <w:rFonts w:ascii="宋体" w:eastAsia="宋体" w:hAnsi="宋体" w:cs="宋体" w:hint="eastAsia"/>
            <w:sz w:val="24"/>
            <w:szCs w:val="24"/>
          </w:rPr>
          <w:t>2</w:t>
        </w:r>
        <w:r w:rsidR="00C55684">
          <w:rPr>
            <w:rFonts w:ascii="宋体" w:eastAsia="宋体" w:hAnsi="宋体" w:cs="宋体" w:hint="eastAsia"/>
            <w:sz w:val="24"/>
            <w:szCs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7399" w:history="1">
        <w:r w:rsidR="00C55684">
          <w:rPr>
            <w:rFonts w:ascii="宋体" w:hAnsi="宋体" w:cs="宋体" w:hint="eastAsia"/>
            <w:sz w:val="24"/>
          </w:rPr>
          <w:t>一、收入支出决算总体情况说明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_Toc17399 </w:instrText>
        </w:r>
        <w:r w:rsidR="00C55684">
          <w:rPr>
            <w:rFonts w:ascii="宋体" w:hAnsi="宋体" w:cs="宋体" w:hint="eastAsia"/>
            <w:sz w:val="24"/>
          </w:rPr>
          <w:fldChar w:fldCharType="separate"/>
        </w:r>
        <w:r w:rsidR="00C55684">
          <w:rPr>
            <w:rFonts w:ascii="宋体" w:hAnsi="宋体" w:cs="宋体" w:hint="eastAsia"/>
            <w:sz w:val="24"/>
          </w:rPr>
          <w:t>2</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1393" w:history="1">
        <w:r w:rsidR="00C55684">
          <w:rPr>
            <w:rFonts w:ascii="宋体" w:hAnsi="宋体" w:cs="宋体" w:hint="eastAsia"/>
            <w:sz w:val="24"/>
          </w:rPr>
          <w:t>二、收入决算情况说明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_Toc11393 </w:instrText>
        </w:r>
        <w:r w:rsidR="00C55684">
          <w:rPr>
            <w:rFonts w:ascii="宋体" w:hAnsi="宋体" w:cs="宋体" w:hint="eastAsia"/>
            <w:sz w:val="24"/>
          </w:rPr>
          <w:fldChar w:fldCharType="separate"/>
        </w:r>
        <w:r w:rsidR="00C55684">
          <w:rPr>
            <w:rFonts w:ascii="宋体" w:hAnsi="宋体" w:cs="宋体" w:hint="eastAsia"/>
            <w:sz w:val="24"/>
          </w:rPr>
          <w:t>2</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26723" w:history="1">
        <w:r w:rsidR="00C55684">
          <w:rPr>
            <w:rFonts w:ascii="宋体" w:hAnsi="宋体" w:cs="宋体" w:hint="eastAsia"/>
            <w:sz w:val="24"/>
          </w:rPr>
          <w:t>三、支出决算情况说明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_Toc26723 </w:instrText>
        </w:r>
        <w:r w:rsidR="00C55684">
          <w:rPr>
            <w:rFonts w:ascii="宋体" w:hAnsi="宋体" w:cs="宋体" w:hint="eastAsia"/>
            <w:sz w:val="24"/>
          </w:rPr>
          <w:fldChar w:fldCharType="separate"/>
        </w:r>
        <w:r w:rsidR="00C55684">
          <w:rPr>
            <w:rFonts w:ascii="宋体" w:hAnsi="宋体" w:cs="宋体" w:hint="eastAsia"/>
            <w:sz w:val="24"/>
          </w:rPr>
          <w:t>3</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9675" w:history="1">
        <w:r w:rsidR="00C55684">
          <w:rPr>
            <w:rFonts w:ascii="宋体" w:hAnsi="宋体" w:cs="宋体" w:hint="eastAsia"/>
            <w:sz w:val="24"/>
          </w:rPr>
          <w:t>四、财政拨款收入支出决算总体情况说明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_Toc9675 </w:instrText>
        </w:r>
        <w:r w:rsidR="00C55684">
          <w:rPr>
            <w:rFonts w:ascii="宋体" w:hAnsi="宋体" w:cs="宋体" w:hint="eastAsia"/>
            <w:sz w:val="24"/>
          </w:rPr>
          <w:fldChar w:fldCharType="separate"/>
        </w:r>
        <w:r w:rsidR="00C55684">
          <w:rPr>
            <w:rFonts w:ascii="宋体" w:hAnsi="宋体" w:cs="宋体" w:hint="eastAsia"/>
            <w:sz w:val="24"/>
          </w:rPr>
          <w:t>4</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148" w:history="1">
        <w:r w:rsidR="00C55684">
          <w:rPr>
            <w:rFonts w:ascii="宋体" w:hAnsi="宋体" w:cs="宋体" w:hint="eastAsia"/>
            <w:sz w:val="24"/>
          </w:rPr>
          <w:t>五、一般公共预算财政拨款支出决算情况说明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_Toc1148 </w:instrText>
        </w:r>
        <w:r w:rsidR="00C55684">
          <w:rPr>
            <w:rFonts w:ascii="宋体" w:hAnsi="宋体" w:cs="宋体" w:hint="eastAsia"/>
            <w:sz w:val="24"/>
          </w:rPr>
          <w:fldChar w:fldCharType="separate"/>
        </w:r>
        <w:r w:rsidR="00C55684">
          <w:rPr>
            <w:rFonts w:ascii="宋体" w:hAnsi="宋体" w:cs="宋体" w:hint="eastAsia"/>
            <w:sz w:val="24"/>
          </w:rPr>
          <w:t>5</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0795" w:history="1">
        <w:r w:rsidR="00C55684">
          <w:rPr>
            <w:rFonts w:ascii="宋体" w:hAnsi="宋体" w:cs="宋体" w:hint="eastAsia"/>
            <w:sz w:val="24"/>
          </w:rPr>
          <w:t>六、一般公共预算财政拨款基本支出决算情况说明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_Toc10795 </w:instrText>
        </w:r>
        <w:r w:rsidR="00C55684">
          <w:rPr>
            <w:rFonts w:ascii="宋体" w:hAnsi="宋体" w:cs="宋体" w:hint="eastAsia"/>
            <w:sz w:val="24"/>
          </w:rPr>
          <w:fldChar w:fldCharType="separate"/>
        </w:r>
        <w:r w:rsidR="00C55684">
          <w:rPr>
            <w:rFonts w:ascii="宋体" w:hAnsi="宋体" w:cs="宋体" w:hint="eastAsia"/>
            <w:sz w:val="24"/>
          </w:rPr>
          <w:t>8</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3642" w:history="1">
        <w:r w:rsidR="00C55684">
          <w:rPr>
            <w:rFonts w:ascii="宋体" w:hAnsi="宋体" w:cs="宋体" w:hint="eastAsia"/>
            <w:sz w:val="24"/>
          </w:rPr>
          <w:t>七、财政拨款“三公”经费支出决算情况说明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_Toc13642 </w:instrText>
        </w:r>
        <w:r w:rsidR="00C55684">
          <w:rPr>
            <w:rFonts w:ascii="宋体" w:hAnsi="宋体" w:cs="宋体" w:hint="eastAsia"/>
            <w:sz w:val="24"/>
          </w:rPr>
          <w:fldChar w:fldCharType="separate"/>
        </w:r>
        <w:r w:rsidR="00C55684">
          <w:rPr>
            <w:rFonts w:ascii="宋体" w:hAnsi="宋体" w:cs="宋体" w:hint="eastAsia"/>
            <w:sz w:val="24"/>
          </w:rPr>
          <w:t>9</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6940" w:history="1">
        <w:r w:rsidR="00C55684">
          <w:rPr>
            <w:rFonts w:ascii="宋体" w:hAnsi="宋体" w:cs="宋体" w:hint="eastAsia"/>
            <w:sz w:val="24"/>
          </w:rPr>
          <w:t>八、政府性基金预算支出决算情况说明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_Toc6940 </w:instrText>
        </w:r>
        <w:r w:rsidR="00C55684">
          <w:rPr>
            <w:rFonts w:ascii="宋体" w:hAnsi="宋体" w:cs="宋体" w:hint="eastAsia"/>
            <w:sz w:val="24"/>
          </w:rPr>
          <w:fldChar w:fldCharType="separate"/>
        </w:r>
        <w:r w:rsidR="00C55684">
          <w:rPr>
            <w:rFonts w:ascii="宋体" w:hAnsi="宋体" w:cs="宋体" w:hint="eastAsia"/>
            <w:sz w:val="24"/>
          </w:rPr>
          <w:t>10</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8457" w:history="1">
        <w:r w:rsidR="00C55684">
          <w:rPr>
            <w:rFonts w:ascii="宋体" w:hAnsi="宋体" w:cs="宋体" w:hint="eastAsia"/>
            <w:sz w:val="24"/>
          </w:rPr>
          <w:t>九、国有资本经营预算支出决算情况说明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_Toc8457 </w:instrText>
        </w:r>
        <w:r w:rsidR="00C55684">
          <w:rPr>
            <w:rFonts w:ascii="宋体" w:hAnsi="宋体" w:cs="宋体" w:hint="eastAsia"/>
            <w:sz w:val="24"/>
          </w:rPr>
          <w:fldChar w:fldCharType="separate"/>
        </w:r>
        <w:r w:rsidR="00C55684">
          <w:rPr>
            <w:rFonts w:ascii="宋体" w:hAnsi="宋体" w:cs="宋体" w:hint="eastAsia"/>
            <w:sz w:val="24"/>
          </w:rPr>
          <w:t>10</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6965" w:history="1">
        <w:r w:rsidR="00C55684">
          <w:rPr>
            <w:rFonts w:ascii="宋体" w:hAnsi="宋体" w:cs="宋体" w:hint="eastAsia"/>
            <w:sz w:val="24"/>
          </w:rPr>
          <w:t>十、其他重要事项的情况说明</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_Toc16965 </w:instrText>
        </w:r>
        <w:r w:rsidR="00C55684">
          <w:rPr>
            <w:rFonts w:ascii="宋体" w:hAnsi="宋体" w:cs="宋体" w:hint="eastAsia"/>
            <w:sz w:val="24"/>
          </w:rPr>
          <w:fldChar w:fldCharType="separate"/>
        </w:r>
        <w:r w:rsidR="00C55684">
          <w:rPr>
            <w:rFonts w:ascii="宋体" w:hAnsi="宋体" w:cs="宋体" w:hint="eastAsia"/>
            <w:sz w:val="24"/>
          </w:rPr>
          <w:t>10</w:t>
        </w:r>
        <w:r w:rsidR="00C55684">
          <w:rPr>
            <w:rFonts w:ascii="宋体" w:hAnsi="宋体" w:cs="宋体" w:hint="eastAsia"/>
            <w:sz w:val="24"/>
          </w:rPr>
          <w:fldChar w:fldCharType="end"/>
        </w:r>
      </w:hyperlink>
    </w:p>
    <w:p w:rsidR="008024BD" w:rsidRDefault="00D72271">
      <w:pPr>
        <w:pStyle w:val="10"/>
        <w:tabs>
          <w:tab w:val="clear" w:pos="8296"/>
          <w:tab w:val="right" w:leader="dot" w:pos="8306"/>
        </w:tabs>
        <w:spacing w:line="440" w:lineRule="exact"/>
        <w:rPr>
          <w:rFonts w:ascii="宋体" w:eastAsia="宋体" w:hAnsi="宋体" w:cs="宋体"/>
          <w:sz w:val="24"/>
          <w:szCs w:val="24"/>
        </w:rPr>
      </w:pPr>
      <w:hyperlink w:anchor="_Toc31226" w:history="1">
        <w:r w:rsidR="00C55684">
          <w:rPr>
            <w:rFonts w:ascii="宋体" w:eastAsia="宋体" w:hAnsi="宋体" w:cs="宋体" w:hint="eastAsia"/>
            <w:sz w:val="24"/>
            <w:szCs w:val="24"/>
          </w:rPr>
          <w:t>第三部分 名词解释</w:t>
        </w:r>
        <w:r w:rsidR="00C55684">
          <w:rPr>
            <w:rFonts w:ascii="宋体" w:eastAsia="宋体" w:hAnsi="宋体" w:cs="宋体" w:hint="eastAsia"/>
            <w:sz w:val="24"/>
            <w:szCs w:val="24"/>
          </w:rPr>
          <w:tab/>
        </w:r>
        <w:r w:rsidR="00C55684">
          <w:rPr>
            <w:rFonts w:ascii="宋体" w:eastAsia="宋体" w:hAnsi="宋体" w:cs="宋体" w:hint="eastAsia"/>
            <w:sz w:val="24"/>
            <w:szCs w:val="24"/>
          </w:rPr>
          <w:fldChar w:fldCharType="begin"/>
        </w:r>
        <w:r w:rsidR="00C55684">
          <w:rPr>
            <w:rFonts w:ascii="宋体" w:eastAsia="宋体" w:hAnsi="宋体" w:cs="宋体" w:hint="eastAsia"/>
            <w:sz w:val="24"/>
            <w:szCs w:val="24"/>
          </w:rPr>
          <w:instrText xml:space="preserve"> PAGEREF _Toc31226 </w:instrText>
        </w:r>
        <w:r w:rsidR="00C55684">
          <w:rPr>
            <w:rFonts w:ascii="宋体" w:eastAsia="宋体" w:hAnsi="宋体" w:cs="宋体" w:hint="eastAsia"/>
            <w:sz w:val="24"/>
            <w:szCs w:val="24"/>
          </w:rPr>
          <w:fldChar w:fldCharType="separate"/>
        </w:r>
        <w:r w:rsidR="00C55684">
          <w:rPr>
            <w:rFonts w:ascii="宋体" w:eastAsia="宋体" w:hAnsi="宋体" w:cs="宋体" w:hint="eastAsia"/>
            <w:sz w:val="24"/>
            <w:szCs w:val="24"/>
          </w:rPr>
          <w:t>13</w:t>
        </w:r>
        <w:r w:rsidR="00C55684">
          <w:rPr>
            <w:rFonts w:ascii="宋体" w:eastAsia="宋体" w:hAnsi="宋体" w:cs="宋体" w:hint="eastAsia"/>
            <w:sz w:val="24"/>
            <w:szCs w:val="24"/>
          </w:rPr>
          <w:fldChar w:fldCharType="end"/>
        </w:r>
      </w:hyperlink>
    </w:p>
    <w:p w:rsidR="008024BD" w:rsidRDefault="00D72271">
      <w:pPr>
        <w:pStyle w:val="10"/>
        <w:tabs>
          <w:tab w:val="clear" w:pos="8296"/>
          <w:tab w:val="right" w:leader="dot" w:pos="8306"/>
        </w:tabs>
        <w:spacing w:line="440" w:lineRule="exact"/>
        <w:rPr>
          <w:rFonts w:ascii="宋体" w:eastAsia="宋体" w:hAnsi="宋体" w:cs="宋体"/>
          <w:sz w:val="24"/>
          <w:szCs w:val="24"/>
        </w:rPr>
      </w:pPr>
      <w:hyperlink w:anchor="_Toc9041" w:history="1">
        <w:r w:rsidR="00C55684">
          <w:rPr>
            <w:rFonts w:ascii="宋体" w:eastAsia="宋体" w:hAnsi="宋体" w:cs="宋体" w:hint="eastAsia"/>
            <w:sz w:val="24"/>
            <w:szCs w:val="24"/>
          </w:rPr>
          <w:t>第四部分 附件</w:t>
        </w:r>
        <w:r w:rsidR="00C55684">
          <w:rPr>
            <w:rFonts w:ascii="宋体" w:eastAsia="宋体" w:hAnsi="宋体" w:cs="宋体" w:hint="eastAsia"/>
            <w:sz w:val="24"/>
            <w:szCs w:val="24"/>
          </w:rPr>
          <w:tab/>
        </w:r>
        <w:r w:rsidR="00C55684">
          <w:rPr>
            <w:rFonts w:ascii="宋体" w:eastAsia="宋体" w:hAnsi="宋体" w:cs="宋体" w:hint="eastAsia"/>
            <w:sz w:val="24"/>
            <w:szCs w:val="24"/>
          </w:rPr>
          <w:fldChar w:fldCharType="begin"/>
        </w:r>
        <w:r w:rsidR="00C55684">
          <w:rPr>
            <w:rFonts w:ascii="宋体" w:eastAsia="宋体" w:hAnsi="宋体" w:cs="宋体" w:hint="eastAsia"/>
            <w:sz w:val="24"/>
            <w:szCs w:val="24"/>
          </w:rPr>
          <w:instrText xml:space="preserve"> PAGEREF _Toc9041 </w:instrText>
        </w:r>
        <w:r w:rsidR="00C55684">
          <w:rPr>
            <w:rFonts w:ascii="宋体" w:eastAsia="宋体" w:hAnsi="宋体" w:cs="宋体" w:hint="eastAsia"/>
            <w:sz w:val="24"/>
            <w:szCs w:val="24"/>
          </w:rPr>
          <w:fldChar w:fldCharType="separate"/>
        </w:r>
        <w:r w:rsidR="00C55684">
          <w:rPr>
            <w:rFonts w:ascii="宋体" w:eastAsia="宋体" w:hAnsi="宋体" w:cs="宋体" w:hint="eastAsia"/>
            <w:sz w:val="24"/>
            <w:szCs w:val="24"/>
          </w:rPr>
          <w:t>17</w:t>
        </w:r>
        <w:r w:rsidR="00C55684">
          <w:rPr>
            <w:rFonts w:ascii="宋体" w:eastAsia="宋体" w:hAnsi="宋体" w:cs="宋体" w:hint="eastAsia"/>
            <w:sz w:val="24"/>
            <w:szCs w:val="24"/>
          </w:rPr>
          <w:fldChar w:fldCharType="end"/>
        </w:r>
      </w:hyperlink>
    </w:p>
    <w:p w:rsidR="008024BD" w:rsidRDefault="00D72271">
      <w:pPr>
        <w:pStyle w:val="10"/>
        <w:tabs>
          <w:tab w:val="clear" w:pos="8296"/>
          <w:tab w:val="right" w:leader="dot" w:pos="8306"/>
        </w:tabs>
        <w:spacing w:line="440" w:lineRule="exact"/>
        <w:rPr>
          <w:rFonts w:ascii="宋体" w:eastAsia="宋体" w:hAnsi="宋体" w:cs="宋体"/>
          <w:sz w:val="24"/>
          <w:szCs w:val="24"/>
        </w:rPr>
      </w:pPr>
      <w:hyperlink w:anchor="_Toc21177" w:history="1">
        <w:r w:rsidR="00C55684">
          <w:rPr>
            <w:rFonts w:ascii="宋体" w:eastAsia="宋体" w:hAnsi="宋体" w:cs="宋体" w:hint="eastAsia"/>
            <w:sz w:val="24"/>
            <w:szCs w:val="24"/>
          </w:rPr>
          <w:t>第五部分 附表</w:t>
        </w:r>
        <w:r w:rsidR="00C55684">
          <w:rPr>
            <w:rFonts w:ascii="宋体" w:eastAsia="宋体" w:hAnsi="宋体" w:cs="宋体" w:hint="eastAsia"/>
            <w:sz w:val="24"/>
            <w:szCs w:val="24"/>
          </w:rPr>
          <w:tab/>
        </w:r>
        <w:r w:rsidR="00C55684">
          <w:rPr>
            <w:rFonts w:ascii="宋体" w:eastAsia="宋体" w:hAnsi="宋体" w:cs="宋体" w:hint="eastAsia"/>
            <w:sz w:val="24"/>
            <w:szCs w:val="24"/>
          </w:rPr>
          <w:fldChar w:fldCharType="begin"/>
        </w:r>
        <w:r w:rsidR="00C55684">
          <w:rPr>
            <w:rFonts w:ascii="宋体" w:eastAsia="宋体" w:hAnsi="宋体" w:cs="宋体" w:hint="eastAsia"/>
            <w:sz w:val="24"/>
            <w:szCs w:val="24"/>
          </w:rPr>
          <w:instrText xml:space="preserve"> PAGEREF _Toc21177 </w:instrText>
        </w:r>
        <w:r w:rsidR="00C55684">
          <w:rPr>
            <w:rFonts w:ascii="宋体" w:eastAsia="宋体" w:hAnsi="宋体" w:cs="宋体" w:hint="eastAsia"/>
            <w:sz w:val="24"/>
            <w:szCs w:val="24"/>
          </w:rPr>
          <w:fldChar w:fldCharType="separate"/>
        </w:r>
        <w:r w:rsidR="00C55684">
          <w:rPr>
            <w:rFonts w:ascii="宋体" w:eastAsia="宋体" w:hAnsi="宋体" w:cs="宋体" w:hint="eastAsia"/>
            <w:sz w:val="24"/>
            <w:szCs w:val="24"/>
          </w:rPr>
          <w:t>37</w:t>
        </w:r>
        <w:r w:rsidR="00C55684">
          <w:rPr>
            <w:rFonts w:ascii="宋体" w:eastAsia="宋体" w:hAnsi="宋体" w:cs="宋体" w:hint="eastAsia"/>
            <w:sz w:val="24"/>
            <w:szCs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3606" w:history="1">
        <w:r w:rsidR="00C55684">
          <w:rPr>
            <w:rFonts w:ascii="宋体" w:hAnsi="宋体" w:cs="宋体" w:hint="eastAsia"/>
            <w:sz w:val="24"/>
          </w:rPr>
          <w:t>一、收入支出决算总表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_Toc3606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4295" w:history="1">
        <w:r w:rsidR="00C55684">
          <w:rPr>
            <w:rFonts w:ascii="宋体" w:hAnsi="宋体" w:cs="宋体" w:hint="eastAsia"/>
            <w:sz w:val="24"/>
          </w:rPr>
          <w:t>二、收入决算表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_Toc14295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5498" w:history="1">
        <w:r w:rsidR="00C55684">
          <w:rPr>
            <w:rFonts w:ascii="宋体" w:hAnsi="宋体" w:cs="宋体" w:hint="eastAsia"/>
            <w:sz w:val="24"/>
          </w:rPr>
          <w:t>三、支出决算表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_Toc15498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7507" w:history="1">
        <w:r w:rsidR="00C55684">
          <w:rPr>
            <w:rFonts w:ascii="宋体" w:hAnsi="宋体" w:cs="宋体" w:hint="eastAsia"/>
            <w:sz w:val="24"/>
          </w:rPr>
          <w:t>四、财政拨款收入支出决算总表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_Toc17507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6109" w:history="1">
        <w:r w:rsidR="00C55684">
          <w:rPr>
            <w:rFonts w:ascii="宋体" w:hAnsi="宋体" w:cs="宋体" w:hint="eastAsia"/>
            <w:sz w:val="24"/>
          </w:rPr>
          <w:t>五、财政拨款支出决算明细表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_Toc16109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22268" w:history="1">
        <w:r w:rsidR="00C55684">
          <w:rPr>
            <w:rFonts w:ascii="宋体" w:hAnsi="宋体" w:cs="宋体" w:hint="eastAsia"/>
            <w:sz w:val="24"/>
          </w:rPr>
          <w:t>六、一般公共预算财政拨款支出决算表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_Toc22268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32251" w:history="1">
        <w:r w:rsidR="00C55684">
          <w:rPr>
            <w:rFonts w:ascii="宋体" w:hAnsi="宋体" w:cs="宋体" w:hint="eastAsia"/>
            <w:sz w:val="24"/>
          </w:rPr>
          <w:t>七、一般公共预算财政拨款支出决算明细表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_Toc32251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26857" w:history="1">
        <w:r w:rsidR="00C55684">
          <w:rPr>
            <w:rFonts w:ascii="宋体" w:hAnsi="宋体" w:cs="宋体" w:hint="eastAsia"/>
            <w:sz w:val="24"/>
          </w:rPr>
          <w:t>八、一般公共预算财政拨款基本支出决算表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_Toc26857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6400" w:history="1">
        <w:r w:rsidR="00C55684">
          <w:rPr>
            <w:rFonts w:ascii="宋体" w:hAnsi="宋体" w:cs="宋体" w:hint="eastAsia"/>
            <w:sz w:val="24"/>
          </w:rPr>
          <w:t>九、一般公共预算财政拨款项目支出决算表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_Toc16400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2997" w:history="1">
        <w:r w:rsidR="00C55684">
          <w:rPr>
            <w:rFonts w:ascii="宋体" w:hAnsi="宋体" w:cs="宋体" w:hint="eastAsia"/>
            <w:sz w:val="24"/>
          </w:rPr>
          <w:t>十、政府性基金预算财政拨款收入支出决算表</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_Toc2997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0916" w:history="1">
        <w:r w:rsidR="00C55684">
          <w:rPr>
            <w:rFonts w:ascii="宋体" w:hAnsi="宋体" w:cs="宋体" w:hint="eastAsia"/>
            <w:sz w:val="24"/>
          </w:rPr>
          <w:t>十一、国有资本经营预算财政拨款收入支出决算表（此表无数据）</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_Toc10916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rPr>
          <w:rFonts w:ascii="宋体" w:hAnsi="宋体" w:cs="宋体"/>
          <w:sz w:val="24"/>
        </w:rPr>
      </w:pPr>
      <w:hyperlink w:anchor="_Toc10415" w:history="1">
        <w:r w:rsidR="00C55684">
          <w:rPr>
            <w:rFonts w:ascii="宋体" w:hAnsi="宋体" w:cs="宋体" w:hint="eastAsia"/>
            <w:sz w:val="24"/>
          </w:rPr>
          <w:t>十二、国有资本经营预算财政拨款支出决算表（此表无数据）</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_Toc10415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D72271">
      <w:pPr>
        <w:pStyle w:val="21"/>
        <w:tabs>
          <w:tab w:val="clear" w:pos="8296"/>
          <w:tab w:val="right" w:leader="dot" w:pos="8306"/>
        </w:tabs>
        <w:spacing w:line="440" w:lineRule="exact"/>
      </w:pPr>
      <w:hyperlink w:anchor="_Toc15543" w:history="1">
        <w:r w:rsidR="00C55684">
          <w:rPr>
            <w:rFonts w:ascii="宋体" w:hAnsi="宋体" w:cs="宋体" w:hint="eastAsia"/>
            <w:sz w:val="24"/>
          </w:rPr>
          <w:t>十三、财政拨款“三公”经费支出决算表（此表无数据）</w:t>
        </w:r>
        <w:r w:rsidR="00C55684">
          <w:rPr>
            <w:rFonts w:ascii="宋体" w:hAnsi="宋体" w:cs="宋体" w:hint="eastAsia"/>
            <w:sz w:val="24"/>
          </w:rPr>
          <w:tab/>
        </w:r>
        <w:r w:rsidR="00C55684">
          <w:rPr>
            <w:rFonts w:ascii="宋体" w:hAnsi="宋体" w:cs="宋体" w:hint="eastAsia"/>
            <w:sz w:val="24"/>
          </w:rPr>
          <w:fldChar w:fldCharType="begin"/>
        </w:r>
        <w:r w:rsidR="00C55684">
          <w:rPr>
            <w:rFonts w:ascii="宋体" w:hAnsi="宋体" w:cs="宋体" w:hint="eastAsia"/>
            <w:sz w:val="24"/>
          </w:rPr>
          <w:instrText xml:space="preserve"> PAGEREF _Toc15543 </w:instrText>
        </w:r>
        <w:r w:rsidR="00C55684">
          <w:rPr>
            <w:rFonts w:ascii="宋体" w:hAnsi="宋体" w:cs="宋体" w:hint="eastAsia"/>
            <w:sz w:val="24"/>
          </w:rPr>
          <w:fldChar w:fldCharType="separate"/>
        </w:r>
        <w:r w:rsidR="00C55684">
          <w:rPr>
            <w:rFonts w:ascii="宋体" w:hAnsi="宋体" w:cs="宋体" w:hint="eastAsia"/>
            <w:sz w:val="24"/>
          </w:rPr>
          <w:t>37</w:t>
        </w:r>
        <w:r w:rsidR="00C55684">
          <w:rPr>
            <w:rFonts w:ascii="宋体" w:hAnsi="宋体" w:cs="宋体" w:hint="eastAsia"/>
            <w:sz w:val="24"/>
          </w:rPr>
          <w:fldChar w:fldCharType="end"/>
        </w:r>
      </w:hyperlink>
    </w:p>
    <w:p w:rsidR="008024BD" w:rsidRDefault="00C55684">
      <w:pPr>
        <w:widowControl/>
        <w:adjustRightInd w:val="0"/>
        <w:snapToGrid w:val="0"/>
        <w:spacing w:line="440" w:lineRule="exact"/>
        <w:ind w:firstLineChars="550" w:firstLine="1155"/>
        <w:jc w:val="left"/>
        <w:rPr>
          <w:rFonts w:ascii="仿宋" w:eastAsia="仿宋" w:hAnsi="仿宋"/>
          <w:sz w:val="24"/>
        </w:rPr>
      </w:pPr>
      <w:r>
        <w:rPr>
          <w:rFonts w:ascii="仿宋" w:eastAsia="仿宋" w:hAnsi="仿宋"/>
        </w:rPr>
        <w:fldChar w:fldCharType="end"/>
      </w:r>
    </w:p>
    <w:p w:rsidR="008024BD" w:rsidRDefault="008024BD">
      <w:pPr>
        <w:pStyle w:val="1"/>
        <w:jc w:val="center"/>
        <w:rPr>
          <w:rFonts w:ascii="黑体" w:eastAsia="黑体" w:hAnsi="黑体"/>
          <w:b w:val="0"/>
        </w:rPr>
        <w:sectPr w:rsidR="008024BD">
          <w:headerReference w:type="default" r:id="rId10"/>
          <w:footerReference w:type="default" r:id="rId11"/>
          <w:pgSz w:w="11906" w:h="16838"/>
          <w:pgMar w:top="1440" w:right="1800" w:bottom="1440" w:left="1800" w:header="851" w:footer="992" w:gutter="0"/>
          <w:pgNumType w:start="1"/>
          <w:cols w:space="425"/>
          <w:docGrid w:type="lines" w:linePitch="312"/>
        </w:sectPr>
      </w:pPr>
      <w:bookmarkStart w:id="16" w:name="_Toc15396599"/>
      <w:bookmarkStart w:id="17" w:name="_Toc4626_WPSOffice_Level1"/>
      <w:bookmarkStart w:id="18" w:name="_Toc15398"/>
      <w:bookmarkStart w:id="19" w:name="_Toc15377196"/>
      <w:bookmarkStart w:id="20" w:name="_Toc17564"/>
    </w:p>
    <w:p w:rsidR="008024BD" w:rsidRDefault="00C55684">
      <w:pPr>
        <w:pStyle w:val="1"/>
        <w:jc w:val="center"/>
        <w:rPr>
          <w:rFonts w:ascii="黑体" w:eastAsia="黑体"/>
          <w:sz w:val="32"/>
          <w:szCs w:val="32"/>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6"/>
      <w:bookmarkEnd w:id="17"/>
      <w:bookmarkEnd w:id="18"/>
      <w:bookmarkEnd w:id="19"/>
      <w:bookmarkEnd w:id="20"/>
    </w:p>
    <w:p w:rsidR="008024BD" w:rsidRDefault="00C55684">
      <w:pPr>
        <w:pStyle w:val="2"/>
        <w:spacing w:line="560" w:lineRule="exact"/>
        <w:ind w:firstLineChars="200" w:firstLine="640"/>
        <w:rPr>
          <w:rStyle w:val="22"/>
          <w:rFonts w:ascii="黑体" w:eastAsia="黑体" w:hAnsi="黑体"/>
        </w:rPr>
      </w:pPr>
      <w:bookmarkStart w:id="21" w:name="_Toc26103"/>
      <w:bookmarkStart w:id="22" w:name="_Toc29736"/>
      <w:bookmarkStart w:id="23" w:name="_Toc11640_WPSOffice_Level2"/>
      <w:r>
        <w:rPr>
          <w:rStyle w:val="22"/>
          <w:rFonts w:ascii="黑体" w:eastAsia="黑体" w:hAnsi="黑体" w:hint="eastAsia"/>
        </w:rPr>
        <w:t>一、部门职责</w:t>
      </w:r>
      <w:bookmarkEnd w:id="21"/>
      <w:bookmarkEnd w:id="22"/>
      <w:bookmarkEnd w:id="23"/>
    </w:p>
    <w:p w:rsidR="008024BD" w:rsidRDefault="00C55684">
      <w:pPr>
        <w:snapToGrid w:val="0"/>
        <w:spacing w:line="560" w:lineRule="exact"/>
        <w:ind w:firstLineChars="200" w:firstLine="640"/>
      </w:pPr>
      <w:r>
        <w:rPr>
          <w:rFonts w:ascii="仿宋" w:eastAsia="仿宋" w:hAnsi="仿宋" w:hint="eastAsia"/>
          <w:sz w:val="32"/>
          <w:szCs w:val="32"/>
        </w:rPr>
        <w:t>职能参照省政府批准的三定方案:攀枝花市中西医结合医院是集医疗、预防、保健与健康教育、科研、教学为一体的三级甲等中西医结合医院。主要服务攀枝花市百万人口，辐射云南省华坪、宁蒗、永胜、凉山州会理、会东、宁南、德昌、盐源、木里等县，承担医疗、预防、保健工作、市内传染病、职业病和非传染性慢性病的防控，群众健康教育工作以及应对各种突发性公共卫生事件和医疗抢救工作。</w:t>
      </w:r>
    </w:p>
    <w:p w:rsidR="008024BD" w:rsidRDefault="00C55684">
      <w:pPr>
        <w:pStyle w:val="2"/>
        <w:spacing w:line="560" w:lineRule="exact"/>
        <w:ind w:firstLineChars="200" w:firstLine="640"/>
        <w:rPr>
          <w:rStyle w:val="22"/>
        </w:rPr>
      </w:pPr>
      <w:bookmarkStart w:id="24" w:name="_Toc17056"/>
      <w:bookmarkStart w:id="25" w:name="_Toc15377200"/>
      <w:bookmarkStart w:id="26" w:name="_Toc15396601"/>
      <w:bookmarkStart w:id="27" w:name="_Toc23759"/>
      <w:bookmarkStart w:id="28" w:name="_Toc4626_WPSOffice_Level2"/>
      <w:r>
        <w:rPr>
          <w:rFonts w:ascii="黑体" w:eastAsia="黑体" w:hint="eastAsia"/>
          <w:b w:val="0"/>
        </w:rPr>
        <w:t>二、</w:t>
      </w:r>
      <w:r>
        <w:rPr>
          <w:rFonts w:ascii="黑体" w:eastAsia="黑体" w:hAnsi="黑体" w:hint="eastAsia"/>
          <w:b w:val="0"/>
        </w:rPr>
        <w:t>机</w:t>
      </w:r>
      <w:r>
        <w:rPr>
          <w:rStyle w:val="22"/>
          <w:rFonts w:ascii="黑体" w:eastAsia="黑体" w:hAnsi="黑体" w:hint="eastAsia"/>
        </w:rPr>
        <w:t>构设置</w:t>
      </w:r>
      <w:bookmarkEnd w:id="24"/>
      <w:bookmarkEnd w:id="25"/>
      <w:bookmarkEnd w:id="26"/>
      <w:bookmarkEnd w:id="27"/>
      <w:bookmarkEnd w:id="28"/>
    </w:p>
    <w:p w:rsidR="00C22388" w:rsidRPr="00C22388" w:rsidRDefault="00C22388" w:rsidP="00C22388">
      <w:pPr>
        <w:pStyle w:val="a0"/>
        <w:spacing w:before="93"/>
        <w:ind w:firstLineChars="200" w:firstLine="640"/>
        <w:rPr>
          <w:rFonts w:ascii="仿宋" w:eastAsia="仿宋" w:hAnsi="仿宋" w:hint="eastAsia"/>
          <w:kern w:val="2"/>
          <w:sz w:val="32"/>
          <w:szCs w:val="32"/>
        </w:rPr>
      </w:pPr>
      <w:r w:rsidRPr="00C22388">
        <w:rPr>
          <w:rFonts w:ascii="仿宋" w:eastAsia="仿宋" w:hAnsi="仿宋" w:hint="eastAsia"/>
          <w:kern w:val="2"/>
          <w:sz w:val="32"/>
          <w:szCs w:val="32"/>
        </w:rPr>
        <w:t>攀枝花市中西医结合医院参照公务员法管理的一级预算事业单位1个，下属二级预算单位0个，其中行政单位0个，参照公务员法管理的事业单位0个，其他事业单位0个。</w:t>
      </w:r>
    </w:p>
    <w:p w:rsidR="00386C27" w:rsidRPr="00386C27" w:rsidRDefault="00C22388" w:rsidP="00C22388">
      <w:pPr>
        <w:pStyle w:val="a0"/>
        <w:spacing w:before="93"/>
        <w:ind w:firstLineChars="200" w:firstLine="640"/>
        <w:rPr>
          <w:rFonts w:ascii="仿宋" w:eastAsia="仿宋" w:hAnsi="仿宋"/>
          <w:kern w:val="2"/>
          <w:sz w:val="32"/>
          <w:szCs w:val="32"/>
        </w:rPr>
      </w:pPr>
      <w:bookmarkStart w:id="29" w:name="_GoBack"/>
      <w:bookmarkEnd w:id="29"/>
      <w:r w:rsidRPr="00C22388">
        <w:rPr>
          <w:rFonts w:ascii="仿宋" w:eastAsia="仿宋" w:hAnsi="仿宋" w:hint="eastAsia"/>
          <w:kern w:val="2"/>
          <w:sz w:val="32"/>
          <w:szCs w:val="32"/>
        </w:rPr>
        <w:t>纳入2022年度部门决算编制范围的二级预算单位包括：无</w:t>
      </w:r>
      <w:r w:rsidR="00386C27" w:rsidRPr="00386C27">
        <w:rPr>
          <w:rFonts w:ascii="仿宋" w:eastAsia="仿宋" w:hAnsi="仿宋" w:hint="eastAsia"/>
          <w:kern w:val="2"/>
          <w:sz w:val="32"/>
          <w:szCs w:val="32"/>
        </w:rPr>
        <w:t>。</w:t>
      </w:r>
    </w:p>
    <w:p w:rsidR="008024BD" w:rsidRDefault="00C55684">
      <w:pPr>
        <w:widowControl/>
        <w:jc w:val="left"/>
        <w:rPr>
          <w:rFonts w:ascii="仿宋" w:eastAsia="仿宋" w:hAnsi="仿宋"/>
          <w:kern w:val="0"/>
          <w:sz w:val="32"/>
          <w:szCs w:val="32"/>
        </w:rPr>
      </w:pPr>
      <w:r>
        <w:rPr>
          <w:rFonts w:ascii="仿宋" w:eastAsia="仿宋" w:hAnsi="仿宋"/>
          <w:sz w:val="32"/>
          <w:szCs w:val="32"/>
        </w:rPr>
        <w:br w:type="page"/>
      </w:r>
    </w:p>
    <w:p w:rsidR="008024BD" w:rsidRDefault="00C55684">
      <w:pPr>
        <w:pStyle w:val="1"/>
        <w:ind w:right="440"/>
        <w:jc w:val="center"/>
        <w:rPr>
          <w:rStyle w:val="1Char"/>
          <w:rFonts w:ascii="黑体" w:eastAsia="黑体" w:hAnsi="黑体"/>
          <w:bCs/>
        </w:rPr>
      </w:pPr>
      <w:bookmarkStart w:id="30" w:name="_Toc8275_WPSOffice_Level1"/>
      <w:bookmarkStart w:id="31" w:name="_Toc16610"/>
      <w:bookmarkStart w:id="32" w:name="_Toc15377204"/>
      <w:bookmarkStart w:id="33" w:name="_Toc15396602"/>
      <w:bookmarkStart w:id="34" w:name="_Toc4393"/>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30"/>
      <w:bookmarkEnd w:id="31"/>
      <w:bookmarkEnd w:id="32"/>
      <w:bookmarkEnd w:id="33"/>
      <w:bookmarkEnd w:id="34"/>
    </w:p>
    <w:p w:rsidR="008024BD" w:rsidRDefault="008024BD"/>
    <w:p w:rsidR="008024BD" w:rsidRDefault="00C55684">
      <w:pPr>
        <w:pStyle w:val="ad"/>
        <w:numPr>
          <w:ilvl w:val="0"/>
          <w:numId w:val="1"/>
        </w:numPr>
        <w:spacing w:line="560" w:lineRule="exact"/>
        <w:ind w:firstLineChars="0"/>
        <w:outlineLvl w:val="1"/>
        <w:rPr>
          <w:rStyle w:val="22"/>
          <w:rFonts w:ascii="黑体" w:eastAsia="黑体" w:hAnsi="黑体"/>
          <w:b w:val="0"/>
        </w:rPr>
      </w:pPr>
      <w:bookmarkStart w:id="35" w:name="_Toc7297"/>
      <w:bookmarkStart w:id="36" w:name="_Toc15377205"/>
      <w:bookmarkStart w:id="37" w:name="_Toc15396603"/>
      <w:bookmarkStart w:id="38" w:name="_Toc17399"/>
      <w:bookmarkStart w:id="39" w:name="_Toc8275_WPSOffice_Level2"/>
      <w:r>
        <w:rPr>
          <w:rFonts w:ascii="黑体" w:eastAsia="黑体" w:hAnsi="黑体" w:hint="eastAsia"/>
          <w:sz w:val="32"/>
          <w:szCs w:val="32"/>
        </w:rPr>
        <w:t>收</w:t>
      </w:r>
      <w:r>
        <w:rPr>
          <w:rStyle w:val="22"/>
          <w:rFonts w:ascii="黑体" w:eastAsia="黑体" w:hAnsi="黑体" w:hint="eastAsia"/>
          <w:b w:val="0"/>
        </w:rPr>
        <w:t>入支出决算总体情况说明</w:t>
      </w:r>
      <w:bookmarkEnd w:id="35"/>
      <w:bookmarkEnd w:id="36"/>
      <w:bookmarkEnd w:id="37"/>
      <w:bookmarkEnd w:id="38"/>
      <w:bookmarkEnd w:id="39"/>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收、支总计104,117.32万元、102,701.35万元。与2021年相比，收、支总计各增加4,895.23万元、6,745.20万元，增长4.93%、7.03。主要变动原因是2022年增加地方政府专项债4000.00万元收入，新冠疫情导致各项支出均有增长。</w:t>
      </w:r>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（图1：收、支决算总计变动情况图）（柱状图）</w:t>
      </w:r>
    </w:p>
    <w:p w:rsidR="008024BD" w:rsidRDefault="00C55684" w:rsidP="00BB5F01">
      <w:pPr>
        <w:pStyle w:val="a0"/>
        <w:spacing w:before="93"/>
        <w:rPr>
          <w:sz w:val="32"/>
          <w:szCs w:val="32"/>
        </w:rPr>
      </w:pPr>
      <w:r>
        <w:rPr>
          <w:rFonts w:ascii="仿宋" w:eastAsia="仿宋" w:hAnsi="仿宋" w:hint="eastAsia"/>
          <w:noProof/>
          <w:sz w:val="32"/>
          <w:szCs w:val="32"/>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24BD" w:rsidRDefault="008024BD">
      <w:pPr>
        <w:pStyle w:val="ad"/>
        <w:spacing w:line="560" w:lineRule="exact"/>
        <w:ind w:firstLine="640"/>
        <w:outlineLvl w:val="1"/>
        <w:rPr>
          <w:rFonts w:ascii="黑体" w:eastAsia="黑体" w:hAnsi="黑体"/>
          <w:sz w:val="32"/>
          <w:szCs w:val="32"/>
        </w:rPr>
      </w:pPr>
      <w:bookmarkStart w:id="40" w:name="_Toc3967"/>
      <w:bookmarkStart w:id="41" w:name="_Toc11393"/>
      <w:bookmarkStart w:id="42" w:name="_Toc15396604"/>
      <w:bookmarkStart w:id="43" w:name="_Toc20430_WPSOffice_Level2"/>
      <w:bookmarkStart w:id="44" w:name="_Toc15377206"/>
    </w:p>
    <w:p w:rsidR="008024BD" w:rsidRDefault="00C55684">
      <w:pPr>
        <w:pStyle w:val="ad"/>
        <w:spacing w:line="560" w:lineRule="exact"/>
        <w:ind w:firstLine="640"/>
        <w:outlineLvl w:val="1"/>
        <w:rPr>
          <w:rStyle w:val="22"/>
          <w:rFonts w:ascii="黑体" w:eastAsia="黑体" w:hAnsi="黑体"/>
          <w:b w:val="0"/>
        </w:rPr>
      </w:pPr>
      <w:r>
        <w:rPr>
          <w:rFonts w:ascii="黑体" w:eastAsia="黑体" w:hAnsi="黑体" w:hint="eastAsia"/>
          <w:sz w:val="32"/>
          <w:szCs w:val="32"/>
        </w:rPr>
        <w:t>二、收</w:t>
      </w:r>
      <w:r>
        <w:rPr>
          <w:rStyle w:val="22"/>
          <w:rFonts w:ascii="黑体" w:eastAsia="黑体" w:hAnsi="黑体" w:hint="eastAsia"/>
          <w:b w:val="0"/>
        </w:rPr>
        <w:t>入决算情况说明</w:t>
      </w:r>
      <w:bookmarkEnd w:id="40"/>
      <w:bookmarkEnd w:id="41"/>
      <w:bookmarkEnd w:id="42"/>
      <w:bookmarkEnd w:id="43"/>
      <w:bookmarkEnd w:id="44"/>
    </w:p>
    <w:p w:rsidR="008024BD" w:rsidRDefault="00C55684">
      <w:pPr>
        <w:spacing w:line="560" w:lineRule="exact"/>
        <w:ind w:firstLineChars="200" w:firstLine="640"/>
        <w:outlineLvl w:val="1"/>
        <w:rPr>
          <w:rFonts w:ascii="仿宋_GB2312" w:eastAsia="仿宋_GB2312" w:hAnsi="仿宋_GB2312" w:cs="仿宋_GB2312"/>
          <w:sz w:val="32"/>
          <w:szCs w:val="32"/>
        </w:rPr>
      </w:pPr>
      <w:bookmarkStart w:id="45" w:name="_Toc16738"/>
      <w:bookmarkStart w:id="46" w:name="_Toc7031"/>
      <w:r>
        <w:rPr>
          <w:rFonts w:ascii="仿宋_GB2312" w:eastAsia="仿宋_GB2312" w:hAnsi="仿宋_GB2312" w:cs="仿宋_GB2312" w:hint="eastAsia"/>
          <w:sz w:val="32"/>
          <w:szCs w:val="32"/>
        </w:rPr>
        <w:t>2022年本年收入合计104,117.32万元，其中：一般公共预算财政拨款收入3,813.60万元，占3.66%；政府性基金</w:t>
      </w:r>
      <w:r>
        <w:rPr>
          <w:rFonts w:ascii="仿宋_GB2312" w:eastAsia="仿宋_GB2312" w:hAnsi="仿宋_GB2312" w:cs="仿宋_GB2312" w:hint="eastAsia"/>
          <w:sz w:val="32"/>
          <w:szCs w:val="32"/>
        </w:rPr>
        <w:lastRenderedPageBreak/>
        <w:t>预算财政拨款收入4,000.00万元，占3.84%；国有资本经营预算财政拨款收入0.00万元，占0.00%；上级补助收入0.00万元，占0.00%；事业收入94,917.95万元，占91.16%；经营收入0.00万元，占0.00%；附属单位上缴收入0.00万元，占0.00%；其他收入1,385.77万元，占1.33%。</w:t>
      </w:r>
      <w:bookmarkEnd w:id="45"/>
      <w:bookmarkEnd w:id="46"/>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（图2：收入决算结构图）（饼状图）</w:t>
      </w:r>
    </w:p>
    <w:p w:rsidR="008024BD" w:rsidRDefault="00C55684" w:rsidP="00BB5F01">
      <w:pPr>
        <w:pStyle w:val="a0"/>
        <w:spacing w:before="93"/>
      </w:pPr>
      <w:r>
        <w:rPr>
          <w:rFonts w:ascii="仿宋" w:eastAsia="仿宋" w:hAnsi="仿宋" w:hint="eastAsia"/>
          <w:noProof/>
          <w:sz w:val="32"/>
          <w:szCs w:val="32"/>
        </w:rPr>
        <w:drawing>
          <wp:inline distT="0" distB="0" distL="114300" distR="114300">
            <wp:extent cx="5080000" cy="43434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24BD" w:rsidRDefault="008024BD">
      <w:pPr>
        <w:pStyle w:val="ad"/>
        <w:spacing w:line="480" w:lineRule="exact"/>
        <w:ind w:left="640" w:firstLineChars="0" w:firstLine="0"/>
        <w:outlineLvl w:val="1"/>
        <w:rPr>
          <w:rFonts w:ascii="黑体" w:eastAsia="黑体" w:hAnsi="黑体"/>
          <w:sz w:val="32"/>
          <w:szCs w:val="32"/>
        </w:rPr>
      </w:pPr>
      <w:bookmarkStart w:id="47" w:name="_Toc31241"/>
      <w:bookmarkStart w:id="48" w:name="_Toc18260_WPSOffice_Level2"/>
      <w:bookmarkStart w:id="49" w:name="_Toc15396605"/>
      <w:bookmarkStart w:id="50" w:name="_Toc15377207"/>
      <w:bookmarkStart w:id="51" w:name="_Toc26723"/>
    </w:p>
    <w:p w:rsidR="008024BD" w:rsidRDefault="00C55684">
      <w:pPr>
        <w:pStyle w:val="ad"/>
        <w:spacing w:line="560" w:lineRule="exact"/>
        <w:ind w:left="640" w:firstLineChars="0" w:firstLine="0"/>
        <w:outlineLvl w:val="1"/>
        <w:rPr>
          <w:rStyle w:val="22"/>
          <w:rFonts w:ascii="黑体" w:eastAsia="黑体" w:hAnsi="黑体"/>
          <w:b w:val="0"/>
        </w:rPr>
      </w:pPr>
      <w:r>
        <w:rPr>
          <w:rFonts w:ascii="黑体" w:eastAsia="黑体" w:hAnsi="黑体" w:hint="eastAsia"/>
          <w:sz w:val="32"/>
          <w:szCs w:val="32"/>
        </w:rPr>
        <w:t>三、支</w:t>
      </w:r>
      <w:r>
        <w:rPr>
          <w:rStyle w:val="22"/>
          <w:rFonts w:ascii="黑体" w:eastAsia="黑体" w:hAnsi="黑体" w:hint="eastAsia"/>
          <w:b w:val="0"/>
        </w:rPr>
        <w:t>出决算情况说明</w:t>
      </w:r>
      <w:bookmarkEnd w:id="47"/>
      <w:bookmarkEnd w:id="48"/>
      <w:bookmarkEnd w:id="49"/>
      <w:bookmarkEnd w:id="50"/>
      <w:bookmarkEnd w:id="51"/>
    </w:p>
    <w:p w:rsidR="008024BD" w:rsidRDefault="00C55684">
      <w:pPr>
        <w:spacing w:line="560" w:lineRule="exact"/>
        <w:ind w:firstLineChars="200" w:firstLine="640"/>
        <w:outlineLvl w:val="1"/>
        <w:rPr>
          <w:rFonts w:ascii="仿宋_GB2312" w:eastAsia="仿宋_GB2312" w:hAnsi="仿宋_GB2312" w:cs="仿宋_GB2312"/>
          <w:sz w:val="32"/>
          <w:szCs w:val="32"/>
          <w:shd w:val="pct10" w:color="auto" w:fill="FFFFFF"/>
        </w:rPr>
      </w:pPr>
      <w:bookmarkStart w:id="52" w:name="_Toc18671"/>
      <w:bookmarkStart w:id="53" w:name="_Toc24788"/>
      <w:r>
        <w:rPr>
          <w:rFonts w:ascii="仿宋_GB2312" w:eastAsia="仿宋_GB2312" w:hAnsi="仿宋_GB2312" w:cs="仿宋_GB2312" w:hint="eastAsia"/>
          <w:sz w:val="32"/>
          <w:szCs w:val="32"/>
        </w:rPr>
        <w:t>2022年本年支出合计102,701.35万元，其中：基本支出96,565.14万元，占94.03%；项目支出6,136.21万元，占5.97%；上缴上级支出0.00万元，占0.00%；经营支出0.00万元，占0.00%；对附属单位补助支出0.00万元，占0.00%。</w:t>
      </w:r>
      <w:bookmarkEnd w:id="52"/>
      <w:bookmarkEnd w:id="53"/>
    </w:p>
    <w:p w:rsidR="008024BD" w:rsidRDefault="00C55684">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（图3：支出决算结构图）（饼状图）</w:t>
      </w:r>
    </w:p>
    <w:p w:rsidR="008024BD" w:rsidRDefault="00C55684" w:rsidP="00BB5F01">
      <w:pPr>
        <w:pStyle w:val="a0"/>
        <w:spacing w:before="93"/>
        <w:rPr>
          <w:sz w:val="32"/>
          <w:szCs w:val="32"/>
        </w:rPr>
      </w:pPr>
      <w:r>
        <w:rPr>
          <w:rFonts w:ascii="仿宋" w:eastAsia="仿宋" w:hAnsi="仿宋" w:hint="eastAsia"/>
          <w:noProof/>
          <w:sz w:val="32"/>
          <w:szCs w:val="32"/>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24BD" w:rsidRDefault="008024BD">
      <w:pPr>
        <w:spacing w:line="600" w:lineRule="exact"/>
        <w:ind w:firstLineChars="200" w:firstLine="640"/>
        <w:outlineLvl w:val="1"/>
        <w:rPr>
          <w:rFonts w:ascii="黑体" w:eastAsia="黑体" w:hAnsi="黑体"/>
          <w:sz w:val="32"/>
          <w:szCs w:val="32"/>
        </w:rPr>
      </w:pPr>
      <w:bookmarkStart w:id="54" w:name="_Toc20683_WPSOffice_Level2"/>
      <w:bookmarkStart w:id="55" w:name="_Toc15377208"/>
      <w:bookmarkStart w:id="56" w:name="_Toc17133"/>
      <w:bookmarkStart w:id="57" w:name="_Toc9675"/>
      <w:bookmarkStart w:id="58" w:name="_Toc15396606"/>
    </w:p>
    <w:p w:rsidR="008024BD" w:rsidRDefault="00C55684">
      <w:pPr>
        <w:spacing w:line="560" w:lineRule="exact"/>
        <w:ind w:firstLineChars="200" w:firstLine="640"/>
        <w:outlineLvl w:val="1"/>
        <w:rPr>
          <w:rStyle w:val="22"/>
          <w:rFonts w:ascii="黑体" w:eastAsia="黑体" w:hAnsi="黑体"/>
          <w:b w:val="0"/>
        </w:rPr>
      </w:pPr>
      <w:r>
        <w:rPr>
          <w:rFonts w:ascii="黑体" w:eastAsia="黑体" w:hAnsi="黑体" w:hint="eastAsia"/>
          <w:sz w:val="32"/>
          <w:szCs w:val="32"/>
        </w:rPr>
        <w:t>四、财</w:t>
      </w:r>
      <w:r>
        <w:rPr>
          <w:rStyle w:val="22"/>
          <w:rFonts w:ascii="黑体" w:eastAsia="黑体" w:hAnsi="黑体" w:hint="eastAsia"/>
          <w:b w:val="0"/>
        </w:rPr>
        <w:t>政拨款收入支出决算总体情况说明</w:t>
      </w:r>
      <w:bookmarkEnd w:id="54"/>
      <w:bookmarkEnd w:id="55"/>
      <w:bookmarkEnd w:id="56"/>
      <w:bookmarkEnd w:id="57"/>
      <w:bookmarkEnd w:id="58"/>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2022年财政拨款收、支总计7,813.60万元、8,397.32万元。与2021年相比，财政拨款收、支总计各增加4,186.79万元、4,316.03万元，增长115.44%、105.75%。主要变动原因是2022年有4,000.00万元地方政府专项债券.</w:t>
      </w:r>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（图4：财政拨款收、支决算总计变动情况）（柱状图）</w:t>
      </w:r>
    </w:p>
    <w:p w:rsidR="008024BD" w:rsidRDefault="00C55684" w:rsidP="00BB5F01">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24BD" w:rsidRDefault="008024BD">
      <w:pPr>
        <w:spacing w:line="600" w:lineRule="exact"/>
        <w:rPr>
          <w:rFonts w:ascii="仿宋" w:eastAsia="仿宋" w:hAnsi="仿宋"/>
          <w:b/>
          <w:sz w:val="32"/>
          <w:szCs w:val="32"/>
        </w:rPr>
      </w:pPr>
    </w:p>
    <w:p w:rsidR="008024BD" w:rsidRDefault="00C55684">
      <w:pPr>
        <w:spacing w:line="560" w:lineRule="exact"/>
        <w:ind w:firstLineChars="200" w:firstLine="640"/>
        <w:outlineLvl w:val="1"/>
        <w:rPr>
          <w:rStyle w:val="22"/>
          <w:rFonts w:ascii="黑体" w:eastAsia="黑体" w:hAnsi="黑体"/>
          <w:b w:val="0"/>
        </w:rPr>
      </w:pPr>
      <w:bookmarkStart w:id="59" w:name="_Toc15377209"/>
      <w:bookmarkStart w:id="60" w:name="_Toc1148"/>
      <w:bookmarkStart w:id="61" w:name="_Toc24818"/>
      <w:bookmarkStart w:id="62" w:name="_Toc15396607"/>
      <w:bookmarkStart w:id="63" w:name="_Toc7804_WPSOffice_Level2"/>
      <w:r>
        <w:rPr>
          <w:rFonts w:ascii="黑体" w:eastAsia="黑体" w:hAnsi="黑体" w:hint="eastAsia"/>
          <w:sz w:val="32"/>
          <w:szCs w:val="32"/>
        </w:rPr>
        <w:t>五、</w:t>
      </w:r>
      <w:r>
        <w:rPr>
          <w:rFonts w:ascii="黑体" w:eastAsia="黑体" w:hAnsi="黑体" w:hint="eastAsia"/>
          <w:b/>
          <w:sz w:val="32"/>
          <w:szCs w:val="32"/>
        </w:rPr>
        <w:t>一</w:t>
      </w:r>
      <w:r>
        <w:rPr>
          <w:rStyle w:val="22"/>
          <w:rFonts w:ascii="黑体" w:eastAsia="黑体" w:hAnsi="黑体" w:hint="eastAsia"/>
          <w:b w:val="0"/>
        </w:rPr>
        <w:t>般公共预算财政拨款支出决算情况说明</w:t>
      </w:r>
      <w:bookmarkEnd w:id="59"/>
      <w:bookmarkEnd w:id="60"/>
      <w:bookmarkEnd w:id="61"/>
      <w:bookmarkEnd w:id="62"/>
      <w:bookmarkEnd w:id="63"/>
    </w:p>
    <w:p w:rsidR="008024BD" w:rsidRDefault="00C55684" w:rsidP="00BB5F01">
      <w:pPr>
        <w:spacing w:line="560" w:lineRule="exact"/>
        <w:ind w:firstLineChars="200" w:firstLine="643"/>
        <w:outlineLvl w:val="2"/>
        <w:rPr>
          <w:rFonts w:ascii="仿宋" w:eastAsia="仿宋" w:hAnsi="仿宋"/>
          <w:b/>
          <w:sz w:val="32"/>
          <w:szCs w:val="32"/>
        </w:rPr>
      </w:pPr>
      <w:bookmarkStart w:id="64" w:name="_Toc15377210"/>
      <w:bookmarkStart w:id="65" w:name="_Toc13556"/>
      <w:r>
        <w:rPr>
          <w:rFonts w:ascii="仿宋" w:eastAsia="仿宋" w:hAnsi="仿宋" w:hint="eastAsia"/>
          <w:b/>
          <w:sz w:val="32"/>
          <w:szCs w:val="32"/>
        </w:rPr>
        <w:t>（一）一般公共预算财政拨款支出决算总体情况</w:t>
      </w:r>
      <w:bookmarkEnd w:id="64"/>
      <w:bookmarkEnd w:id="65"/>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财政拨款支出4,397.32万元，占本年支出合计的4.28%。与2021年相比，一般公共预算财政拨款支出增加694.66万元，增长18.76%。主要变动原因是中医（民族医）药专项资金增加628.19万元，政府对中医药方面的支持力度提升。</w:t>
      </w:r>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（图5：一般公共预算财政拨款支出决算变动情况）（柱状图）</w:t>
      </w:r>
    </w:p>
    <w:p w:rsidR="008024BD" w:rsidRDefault="008024BD" w:rsidP="00BB5F01">
      <w:pPr>
        <w:pStyle w:val="a0"/>
        <w:spacing w:before="93"/>
        <w:rPr>
          <w:rFonts w:ascii="仿宋" w:eastAsia="仿宋" w:hAnsi="仿宋"/>
          <w:sz w:val="32"/>
          <w:szCs w:val="32"/>
        </w:rPr>
      </w:pPr>
    </w:p>
    <w:p w:rsidR="008024BD" w:rsidRDefault="00C55684" w:rsidP="00BB5F01">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24BD" w:rsidRDefault="008024BD" w:rsidP="00BB5F01">
      <w:pPr>
        <w:pStyle w:val="a0"/>
        <w:spacing w:before="93"/>
        <w:rPr>
          <w:rFonts w:ascii="仿宋" w:eastAsia="仿宋" w:hAnsi="仿宋"/>
          <w:sz w:val="32"/>
          <w:szCs w:val="32"/>
        </w:rPr>
      </w:pPr>
    </w:p>
    <w:p w:rsidR="008024BD" w:rsidRDefault="008024BD" w:rsidP="00BB5F01">
      <w:pPr>
        <w:pStyle w:val="a0"/>
        <w:spacing w:before="93"/>
        <w:rPr>
          <w:rFonts w:ascii="仿宋" w:eastAsia="仿宋" w:hAnsi="仿宋"/>
          <w:sz w:val="32"/>
          <w:szCs w:val="32"/>
        </w:rPr>
      </w:pPr>
    </w:p>
    <w:p w:rsidR="008024BD" w:rsidRDefault="00C55684" w:rsidP="00BB5F01">
      <w:pPr>
        <w:spacing w:line="560" w:lineRule="exact"/>
        <w:ind w:firstLineChars="200" w:firstLine="643"/>
        <w:outlineLvl w:val="2"/>
        <w:rPr>
          <w:rFonts w:ascii="仿宋" w:eastAsia="仿宋" w:hAnsi="仿宋"/>
          <w:b/>
          <w:sz w:val="32"/>
          <w:szCs w:val="32"/>
        </w:rPr>
      </w:pPr>
      <w:bookmarkStart w:id="66" w:name="_Toc297"/>
      <w:bookmarkStart w:id="67" w:name="_Toc15377211"/>
      <w:r>
        <w:rPr>
          <w:rFonts w:ascii="仿宋" w:eastAsia="仿宋" w:hAnsi="仿宋" w:hint="eastAsia"/>
          <w:b/>
          <w:sz w:val="32"/>
          <w:szCs w:val="32"/>
        </w:rPr>
        <w:t>（二）一般公共预算财政拨款支出决算结构情况</w:t>
      </w:r>
      <w:bookmarkEnd w:id="66"/>
      <w:bookmarkEnd w:id="67"/>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财政拨款支出4,397.32万元，主要用于以下方面:一般公共服务支出14.52万元，占0.33%；科学技术支出55.00万元，占1.25%；社会保障和就业支出1,665.51万元，占37.88%；卫生健康支出2,662.29万元，占60.54%。</w:t>
      </w:r>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（图6：一般公共预算财政拨款支出决算结构）（饼状图）</w:t>
      </w:r>
    </w:p>
    <w:p w:rsidR="008024BD" w:rsidRDefault="00C55684" w:rsidP="00BB5F01">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24BD" w:rsidRDefault="008024BD">
      <w:pPr>
        <w:spacing w:line="600" w:lineRule="exact"/>
        <w:rPr>
          <w:rFonts w:ascii="仿宋" w:eastAsia="仿宋" w:hAnsi="仿宋"/>
          <w:sz w:val="32"/>
          <w:szCs w:val="32"/>
        </w:rPr>
      </w:pPr>
    </w:p>
    <w:p w:rsidR="008024BD" w:rsidRDefault="00C55684" w:rsidP="00BB5F01">
      <w:pPr>
        <w:spacing w:line="560" w:lineRule="exact"/>
        <w:ind w:firstLineChars="200" w:firstLine="643"/>
        <w:outlineLvl w:val="2"/>
        <w:rPr>
          <w:rFonts w:ascii="仿宋" w:eastAsia="仿宋" w:hAnsi="仿宋"/>
          <w:b/>
          <w:sz w:val="32"/>
          <w:szCs w:val="32"/>
        </w:rPr>
      </w:pPr>
      <w:bookmarkStart w:id="68" w:name="_Toc3213"/>
      <w:bookmarkStart w:id="69" w:name="_Toc15377212"/>
      <w:r>
        <w:rPr>
          <w:rFonts w:ascii="仿宋" w:eastAsia="仿宋" w:hAnsi="仿宋" w:hint="eastAsia"/>
          <w:b/>
          <w:sz w:val="32"/>
          <w:szCs w:val="32"/>
        </w:rPr>
        <w:t>（三）一般公共预算财政拨款支出决算具体情况</w:t>
      </w:r>
      <w:bookmarkEnd w:id="68"/>
      <w:bookmarkEnd w:id="69"/>
    </w:p>
    <w:p w:rsidR="008024BD" w:rsidRDefault="00C55684">
      <w:pPr>
        <w:spacing w:line="560" w:lineRule="exact"/>
        <w:ind w:firstLineChars="200" w:firstLine="643"/>
        <w:outlineLvl w:val="2"/>
        <w:rPr>
          <w:rFonts w:ascii="仿宋_GB2312" w:eastAsia="仿宋_GB2312" w:hAnsi="仿宋_GB2312" w:cs="仿宋_GB2312"/>
          <w:sz w:val="32"/>
          <w:szCs w:val="32"/>
        </w:rPr>
      </w:pPr>
      <w:bookmarkStart w:id="70" w:name="_Toc15377444"/>
      <w:bookmarkStart w:id="71" w:name="_Toc15377213"/>
      <w:bookmarkStart w:id="72" w:name="_Toc15378460"/>
      <w:bookmarkStart w:id="73" w:name="_Toc78"/>
      <w:r>
        <w:rPr>
          <w:rFonts w:ascii="仿宋_GB2312" w:eastAsia="仿宋_GB2312" w:hAnsi="仿宋_GB2312" w:cs="仿宋_GB2312" w:hint="eastAsia"/>
          <w:b/>
          <w:sz w:val="32"/>
          <w:szCs w:val="32"/>
        </w:rPr>
        <w:t>2022年一般公共预算支出决算数为4397.32万元</w:t>
      </w:r>
      <w:r>
        <w:rPr>
          <w:rFonts w:ascii="仿宋_GB2312" w:eastAsia="仿宋_GB2312" w:hAnsi="仿宋_GB2312" w:cs="仿宋_GB2312" w:hint="eastAsia"/>
          <w:sz w:val="32"/>
          <w:szCs w:val="32"/>
        </w:rPr>
        <w:t>，</w:t>
      </w:r>
      <w:r>
        <w:rPr>
          <w:rStyle w:val="aa"/>
          <w:rFonts w:ascii="仿宋_GB2312" w:eastAsia="仿宋_GB2312" w:hAnsi="仿宋_GB2312" w:cs="仿宋_GB2312" w:hint="eastAsia"/>
          <w:bCs/>
          <w:sz w:val="32"/>
          <w:szCs w:val="32"/>
        </w:rPr>
        <w:t>完成预算100.00%。其中：</w:t>
      </w:r>
      <w:bookmarkEnd w:id="70"/>
      <w:bookmarkEnd w:id="71"/>
      <w:bookmarkEnd w:id="72"/>
      <w:bookmarkEnd w:id="73"/>
    </w:p>
    <w:p w:rsidR="008024BD" w:rsidRDefault="00C55684">
      <w:pPr>
        <w:spacing w:line="560" w:lineRule="exact"/>
        <w:ind w:firstLineChars="200" w:firstLine="643"/>
        <w:rPr>
          <w:rFonts w:ascii="仿宋_GB2312" w:eastAsia="仿宋_GB2312" w:hAnsi="仿宋_GB2312" w:cs="仿宋_GB2312"/>
          <w:b/>
          <w:sz w:val="32"/>
          <w:szCs w:val="32"/>
        </w:rPr>
      </w:pPr>
      <w:r>
        <w:rPr>
          <w:rStyle w:val="aa"/>
          <w:rFonts w:ascii="仿宋_GB2312" w:eastAsia="仿宋_GB2312" w:hAnsi="仿宋_GB2312" w:cs="仿宋_GB2312" w:hint="eastAsia"/>
          <w:bCs/>
          <w:sz w:val="32"/>
          <w:szCs w:val="32"/>
        </w:rPr>
        <w:t>1.一般公共服务（类）组织事务（款）其他组织事务支出（项）:</w:t>
      </w:r>
      <w:r>
        <w:rPr>
          <w:rStyle w:val="aa"/>
          <w:rFonts w:ascii="仿宋_GB2312" w:eastAsia="仿宋_GB2312" w:hAnsi="仿宋_GB2312" w:cs="仿宋_GB2312" w:hint="eastAsia"/>
          <w:b w:val="0"/>
          <w:bCs/>
          <w:sz w:val="32"/>
          <w:szCs w:val="32"/>
        </w:rPr>
        <w:t xml:space="preserve"> 支出决算为14.52万元，完成预算100.00%。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Style w:val="aa"/>
          <w:rFonts w:ascii="仿宋_GB2312" w:eastAsia="仿宋_GB2312" w:hAnsi="仿宋_GB2312" w:cs="仿宋_GB2312" w:hint="eastAsia"/>
          <w:bCs/>
          <w:sz w:val="32"/>
          <w:szCs w:val="32"/>
        </w:rPr>
        <w:t>2.科学技术（类）技术研究与开发(款）其他技术研究与开发支出（项）:</w:t>
      </w:r>
      <w:r>
        <w:rPr>
          <w:rStyle w:val="aa"/>
          <w:rFonts w:ascii="仿宋_GB2312" w:eastAsia="仿宋_GB2312" w:hAnsi="仿宋_GB2312" w:cs="仿宋_GB2312" w:hint="eastAsia"/>
          <w:b w:val="0"/>
          <w:bCs/>
          <w:sz w:val="32"/>
          <w:szCs w:val="32"/>
        </w:rPr>
        <w:t xml:space="preserve"> 支出决算为35.00万元，完成预算100.00%。</w:t>
      </w:r>
    </w:p>
    <w:p w:rsidR="008024BD" w:rsidRDefault="00C55684">
      <w:pPr>
        <w:spacing w:line="560" w:lineRule="exact"/>
        <w:ind w:firstLineChars="200" w:firstLine="643"/>
        <w:rPr>
          <w:rStyle w:val="aa"/>
          <w:rFonts w:ascii="仿宋_GB2312" w:eastAsia="仿宋_GB2312" w:hAnsi="仿宋_GB2312" w:cs="仿宋_GB2312"/>
          <w:bCs/>
          <w:sz w:val="32"/>
          <w:szCs w:val="32"/>
        </w:rPr>
      </w:pPr>
      <w:r>
        <w:rPr>
          <w:rStyle w:val="aa"/>
          <w:rFonts w:ascii="仿宋_GB2312" w:eastAsia="仿宋_GB2312" w:hAnsi="仿宋_GB2312" w:cs="仿宋_GB2312" w:hint="eastAsia"/>
          <w:bCs/>
          <w:sz w:val="32"/>
          <w:szCs w:val="32"/>
        </w:rPr>
        <w:t>3.科学技术（类）其他技术支出(款）其他科学技术支出（项）:</w:t>
      </w:r>
      <w:r>
        <w:rPr>
          <w:rStyle w:val="aa"/>
          <w:rFonts w:ascii="仿宋_GB2312" w:eastAsia="仿宋_GB2312" w:hAnsi="仿宋_GB2312" w:cs="仿宋_GB2312" w:hint="eastAsia"/>
          <w:b w:val="0"/>
          <w:bCs/>
          <w:sz w:val="32"/>
          <w:szCs w:val="32"/>
        </w:rPr>
        <w:t xml:space="preserve"> 支出决算为20.00万元，完成预算100.00%。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Style w:val="aa"/>
          <w:rFonts w:ascii="仿宋_GB2312" w:eastAsia="仿宋_GB2312" w:hAnsi="仿宋_GB2312" w:cs="仿宋_GB2312" w:hint="eastAsia"/>
          <w:bCs/>
          <w:sz w:val="32"/>
          <w:szCs w:val="32"/>
        </w:rPr>
        <w:t>4.社会保障和就业（类）行政事业单位养老支出（款）事业单位离退休（项）:</w:t>
      </w:r>
      <w:r>
        <w:rPr>
          <w:rStyle w:val="aa"/>
          <w:rFonts w:ascii="仿宋_GB2312" w:eastAsia="仿宋_GB2312" w:hAnsi="仿宋_GB2312" w:cs="仿宋_GB2312" w:hint="eastAsia"/>
          <w:b w:val="0"/>
          <w:bCs/>
          <w:sz w:val="32"/>
          <w:szCs w:val="32"/>
        </w:rPr>
        <w:t xml:space="preserve"> 支出决算为333.10万元，完成预算100.00%。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Style w:val="aa"/>
          <w:rFonts w:ascii="仿宋_GB2312" w:eastAsia="仿宋_GB2312" w:hAnsi="仿宋_GB2312" w:cs="仿宋_GB2312" w:hint="eastAsia"/>
          <w:bCs/>
          <w:sz w:val="32"/>
          <w:szCs w:val="32"/>
        </w:rPr>
        <w:lastRenderedPageBreak/>
        <w:t>5.社会保障和就业（类）行政事业单位养老支出（款）机关事业单位基本养老保险缴费支出（项）:</w:t>
      </w:r>
      <w:r>
        <w:rPr>
          <w:rStyle w:val="aa"/>
          <w:rFonts w:ascii="仿宋_GB2312" w:eastAsia="仿宋_GB2312" w:hAnsi="仿宋_GB2312" w:cs="仿宋_GB2312" w:hint="eastAsia"/>
          <w:b w:val="0"/>
          <w:bCs/>
          <w:sz w:val="32"/>
          <w:szCs w:val="32"/>
        </w:rPr>
        <w:t xml:space="preserve"> 支出决算为1284.01万元，完成预算100.00%。</w:t>
      </w:r>
    </w:p>
    <w:p w:rsidR="008024BD" w:rsidRDefault="00C55684">
      <w:pPr>
        <w:spacing w:line="560" w:lineRule="exact"/>
        <w:ind w:firstLineChars="200" w:firstLine="643"/>
        <w:rPr>
          <w:rStyle w:val="aa"/>
          <w:rFonts w:ascii="仿宋_GB2312" w:eastAsia="仿宋_GB2312" w:hAnsi="仿宋_GB2312" w:cs="仿宋_GB2312"/>
          <w:bCs/>
          <w:sz w:val="32"/>
          <w:szCs w:val="32"/>
        </w:rPr>
      </w:pPr>
      <w:r>
        <w:rPr>
          <w:rStyle w:val="aa"/>
          <w:rFonts w:ascii="仿宋_GB2312" w:eastAsia="仿宋_GB2312" w:hAnsi="仿宋_GB2312" w:cs="仿宋_GB2312" w:hint="eastAsia"/>
          <w:bCs/>
          <w:sz w:val="32"/>
          <w:szCs w:val="32"/>
        </w:rPr>
        <w:t>6.社会保障和就业（类）抚恤（款）死亡抚恤（项）:</w:t>
      </w:r>
      <w:r>
        <w:rPr>
          <w:rStyle w:val="aa"/>
          <w:rFonts w:ascii="仿宋_GB2312" w:eastAsia="仿宋_GB2312" w:hAnsi="仿宋_GB2312" w:cs="仿宋_GB2312" w:hint="eastAsia"/>
          <w:b w:val="0"/>
          <w:bCs/>
          <w:sz w:val="32"/>
          <w:szCs w:val="32"/>
        </w:rPr>
        <w:t xml:space="preserve"> 支出决算为48.39万元，完成预算100.00%。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7.卫生健康</w:t>
      </w:r>
      <w:r>
        <w:rPr>
          <w:rStyle w:val="aa"/>
          <w:rFonts w:ascii="仿宋_GB2312" w:eastAsia="仿宋_GB2312" w:hAnsi="仿宋_GB2312" w:cs="仿宋_GB2312" w:hint="eastAsia"/>
          <w:bCs/>
          <w:sz w:val="32"/>
          <w:szCs w:val="32"/>
        </w:rPr>
        <w:t>（类）公立医院（款）中医(民族)医院（项）:</w:t>
      </w:r>
      <w:r>
        <w:rPr>
          <w:rStyle w:val="aa"/>
          <w:rFonts w:ascii="仿宋_GB2312" w:eastAsia="仿宋_GB2312" w:hAnsi="仿宋_GB2312" w:cs="仿宋_GB2312" w:hint="eastAsia"/>
          <w:b w:val="0"/>
          <w:bCs/>
          <w:sz w:val="32"/>
          <w:szCs w:val="32"/>
        </w:rPr>
        <w:t>支出决算为920.60万元，完成预算100.00%。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8.卫生健康</w:t>
      </w:r>
      <w:r>
        <w:rPr>
          <w:rStyle w:val="aa"/>
          <w:rFonts w:ascii="仿宋_GB2312" w:eastAsia="仿宋_GB2312" w:hAnsi="仿宋_GB2312" w:cs="仿宋_GB2312" w:hint="eastAsia"/>
          <w:bCs/>
          <w:sz w:val="32"/>
          <w:szCs w:val="32"/>
        </w:rPr>
        <w:t>（类）公立医院（款）其他公立医院支出（项）:</w:t>
      </w:r>
      <w:r>
        <w:rPr>
          <w:rStyle w:val="aa"/>
          <w:rFonts w:ascii="仿宋_GB2312" w:eastAsia="仿宋_GB2312" w:hAnsi="仿宋_GB2312" w:cs="仿宋_GB2312" w:hint="eastAsia"/>
          <w:b w:val="0"/>
          <w:bCs/>
          <w:sz w:val="32"/>
          <w:szCs w:val="32"/>
        </w:rPr>
        <w:t>支出决算为146.00万元，完成预算100.00%。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9.卫生健康</w:t>
      </w:r>
      <w:r>
        <w:rPr>
          <w:rStyle w:val="aa"/>
          <w:rFonts w:ascii="仿宋_GB2312" w:eastAsia="仿宋_GB2312" w:hAnsi="仿宋_GB2312" w:cs="仿宋_GB2312" w:hint="eastAsia"/>
          <w:bCs/>
          <w:sz w:val="32"/>
          <w:szCs w:val="32"/>
        </w:rPr>
        <w:t>（类）公共卫生（款）基本公共卫生服务（项）:</w:t>
      </w:r>
      <w:r>
        <w:rPr>
          <w:rStyle w:val="aa"/>
          <w:rFonts w:ascii="仿宋_GB2312" w:eastAsia="仿宋_GB2312" w:hAnsi="仿宋_GB2312" w:cs="仿宋_GB2312" w:hint="eastAsia"/>
          <w:b w:val="0"/>
          <w:bCs/>
          <w:sz w:val="32"/>
          <w:szCs w:val="32"/>
        </w:rPr>
        <w:t>支出决算为3.00万元，完成预算100.00%。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10.卫生健康</w:t>
      </w:r>
      <w:r>
        <w:rPr>
          <w:rStyle w:val="aa"/>
          <w:rFonts w:ascii="仿宋_GB2312" w:eastAsia="仿宋_GB2312" w:hAnsi="仿宋_GB2312" w:cs="仿宋_GB2312" w:hint="eastAsia"/>
          <w:bCs/>
          <w:sz w:val="32"/>
          <w:szCs w:val="32"/>
        </w:rPr>
        <w:t>（类）公共卫生（款）重大公共卫生服务（项）:</w:t>
      </w:r>
      <w:r>
        <w:rPr>
          <w:rStyle w:val="aa"/>
          <w:rFonts w:ascii="仿宋_GB2312" w:eastAsia="仿宋_GB2312" w:hAnsi="仿宋_GB2312" w:cs="仿宋_GB2312" w:hint="eastAsia"/>
          <w:b w:val="0"/>
          <w:bCs/>
          <w:sz w:val="32"/>
          <w:szCs w:val="32"/>
        </w:rPr>
        <w:t>支出决算为12.94万元，完成预算100.00%。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11.卫生健康</w:t>
      </w:r>
      <w:r>
        <w:rPr>
          <w:rStyle w:val="aa"/>
          <w:rFonts w:ascii="仿宋_GB2312" w:eastAsia="仿宋_GB2312" w:hAnsi="仿宋_GB2312" w:cs="仿宋_GB2312" w:hint="eastAsia"/>
          <w:bCs/>
          <w:sz w:val="32"/>
          <w:szCs w:val="32"/>
        </w:rPr>
        <w:t>（类）公共卫生（款）其他公共卫生支出（项）:</w:t>
      </w:r>
      <w:r>
        <w:rPr>
          <w:rStyle w:val="aa"/>
          <w:rFonts w:ascii="仿宋_GB2312" w:eastAsia="仿宋_GB2312" w:hAnsi="仿宋_GB2312" w:cs="仿宋_GB2312" w:hint="eastAsia"/>
          <w:b w:val="0"/>
          <w:bCs/>
          <w:sz w:val="32"/>
          <w:szCs w:val="32"/>
        </w:rPr>
        <w:t>支出决算为21.80万元，完成预算100.00%。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12.卫生健康</w:t>
      </w:r>
      <w:r>
        <w:rPr>
          <w:rStyle w:val="aa"/>
          <w:rFonts w:ascii="仿宋_GB2312" w:eastAsia="仿宋_GB2312" w:hAnsi="仿宋_GB2312" w:cs="仿宋_GB2312" w:hint="eastAsia"/>
          <w:bCs/>
          <w:sz w:val="32"/>
          <w:szCs w:val="32"/>
        </w:rPr>
        <w:t>（类）中医药（款）中医(民族医)药专项（项）:</w:t>
      </w:r>
      <w:r>
        <w:rPr>
          <w:rStyle w:val="aa"/>
          <w:rFonts w:ascii="仿宋_GB2312" w:eastAsia="仿宋_GB2312" w:hAnsi="仿宋_GB2312" w:cs="仿宋_GB2312" w:hint="eastAsia"/>
          <w:b w:val="0"/>
          <w:bCs/>
          <w:sz w:val="32"/>
          <w:szCs w:val="32"/>
        </w:rPr>
        <w:t>支出决算为862.86万元，完成预算100.00%。</w:t>
      </w:r>
    </w:p>
    <w:p w:rsidR="008024BD" w:rsidRDefault="00C55684">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13.卫生健康</w:t>
      </w:r>
      <w:r>
        <w:rPr>
          <w:rStyle w:val="aa"/>
          <w:rFonts w:ascii="仿宋_GB2312" w:eastAsia="仿宋_GB2312" w:hAnsi="仿宋_GB2312" w:cs="仿宋_GB2312" w:hint="eastAsia"/>
          <w:bCs/>
          <w:sz w:val="32"/>
          <w:szCs w:val="32"/>
        </w:rPr>
        <w:t>（类）其他卫生健康支出（款）其他卫生健康支出（项）:</w:t>
      </w:r>
      <w:r>
        <w:rPr>
          <w:rStyle w:val="aa"/>
          <w:rFonts w:ascii="仿宋_GB2312" w:eastAsia="仿宋_GB2312" w:hAnsi="仿宋_GB2312" w:cs="仿宋_GB2312" w:hint="eastAsia"/>
          <w:b w:val="0"/>
          <w:bCs/>
          <w:sz w:val="32"/>
          <w:szCs w:val="32"/>
        </w:rPr>
        <w:t>支出决算为695.10万元，完成预算100.00%，。</w:t>
      </w:r>
    </w:p>
    <w:p w:rsidR="008024BD" w:rsidRDefault="00C55684">
      <w:pPr>
        <w:spacing w:line="560" w:lineRule="exact"/>
        <w:ind w:firstLineChars="200" w:firstLine="640"/>
        <w:outlineLvl w:val="1"/>
        <w:rPr>
          <w:rStyle w:val="22"/>
          <w:rFonts w:ascii="黑体" w:eastAsia="黑体" w:hAnsi="黑体"/>
          <w:b w:val="0"/>
        </w:rPr>
      </w:pPr>
      <w:bookmarkStart w:id="74" w:name="_Toc2201_WPSOffice_Level2"/>
      <w:bookmarkStart w:id="75" w:name="_Toc29041"/>
      <w:bookmarkStart w:id="76" w:name="_Toc15396608"/>
      <w:bookmarkStart w:id="77" w:name="_Toc10795"/>
      <w:bookmarkStart w:id="78" w:name="_Toc15377214"/>
      <w:r>
        <w:rPr>
          <w:rStyle w:val="22"/>
          <w:rFonts w:ascii="黑体" w:eastAsia="黑体" w:hAnsi="黑体" w:hint="eastAsia"/>
          <w:b w:val="0"/>
        </w:rPr>
        <w:t>六、一般公共预算财政拨款基本支出决算情况说明</w:t>
      </w:r>
      <w:bookmarkEnd w:id="74"/>
      <w:bookmarkEnd w:id="75"/>
      <w:bookmarkEnd w:id="76"/>
      <w:bookmarkEnd w:id="77"/>
      <w:bookmarkEnd w:id="78"/>
      <w:r>
        <w:rPr>
          <w:rStyle w:val="22"/>
          <w:rFonts w:ascii="黑体" w:eastAsia="黑体" w:hAnsi="黑体" w:hint="eastAsia"/>
          <w:b w:val="0"/>
        </w:rPr>
        <w:tab/>
      </w:r>
    </w:p>
    <w:p w:rsidR="008024BD" w:rsidRDefault="00C5568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2022年一般公共预算财政拨款基本支出2261.11万元，其中：</w:t>
      </w:r>
    </w:p>
    <w:p w:rsidR="008024BD" w:rsidRDefault="00C55684">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人员经费2260.6万元，主要包括：机关事业单位基本养老保险缴费、职业年金缴费、其他社会保障缴费、离休费、</w:t>
      </w:r>
      <w:r>
        <w:rPr>
          <w:rFonts w:ascii="仿宋_GB2312" w:eastAsia="仿宋_GB2312" w:hAnsi="仿宋_GB2312" w:cs="仿宋_GB2312" w:hint="eastAsia"/>
          <w:sz w:val="32"/>
          <w:szCs w:val="32"/>
        </w:rPr>
        <w:lastRenderedPageBreak/>
        <w:t>抚恤金、生活补助、医疗费补助。</w:t>
      </w:r>
      <w:r>
        <w:rPr>
          <w:rFonts w:ascii="仿宋_GB2312" w:eastAsia="仿宋_GB2312" w:hAnsi="仿宋_GB2312" w:cs="仿宋_GB2312" w:hint="eastAsia"/>
          <w:sz w:val="32"/>
          <w:szCs w:val="32"/>
        </w:rPr>
        <w:br/>
        <w:t xml:space="preserve">　　公用经费0.51万元，主要包括：专用材料费。</w:t>
      </w:r>
    </w:p>
    <w:p w:rsidR="008024BD" w:rsidRDefault="00C55684">
      <w:pPr>
        <w:spacing w:line="560" w:lineRule="exact"/>
        <w:ind w:firstLineChars="200" w:firstLine="640"/>
        <w:outlineLvl w:val="1"/>
        <w:rPr>
          <w:rStyle w:val="22"/>
          <w:rFonts w:ascii="黑体" w:eastAsia="黑体" w:hAnsi="黑体"/>
          <w:b w:val="0"/>
        </w:rPr>
      </w:pPr>
      <w:bookmarkStart w:id="79" w:name="_Toc20037"/>
      <w:bookmarkStart w:id="80" w:name="_Toc23653_WPSOffice_Level2"/>
      <w:bookmarkStart w:id="81" w:name="_Toc13642"/>
      <w:bookmarkStart w:id="82" w:name="_Toc15396609"/>
      <w:bookmarkStart w:id="83" w:name="_Toc15377215"/>
      <w:r>
        <w:rPr>
          <w:rStyle w:val="22"/>
          <w:rFonts w:ascii="黑体" w:eastAsia="黑体" w:hAnsi="黑体" w:hint="eastAsia"/>
          <w:b w:val="0"/>
        </w:rPr>
        <w:t>七、财政拨款“三公”经费支出决算情况说明</w:t>
      </w:r>
      <w:bookmarkEnd w:id="79"/>
      <w:bookmarkEnd w:id="80"/>
      <w:bookmarkEnd w:id="81"/>
      <w:bookmarkEnd w:id="82"/>
      <w:bookmarkEnd w:id="83"/>
    </w:p>
    <w:p w:rsidR="008024BD" w:rsidRDefault="00C55684">
      <w:pPr>
        <w:spacing w:line="560" w:lineRule="exact"/>
        <w:ind w:firstLine="640"/>
        <w:outlineLvl w:val="2"/>
        <w:rPr>
          <w:rFonts w:ascii="仿宋_GB2312" w:eastAsia="仿宋_GB2312" w:hAnsi="仿宋_GB2312" w:cs="仿宋_GB2312"/>
          <w:b/>
          <w:sz w:val="32"/>
          <w:szCs w:val="32"/>
        </w:rPr>
      </w:pPr>
      <w:bookmarkStart w:id="84" w:name="_Toc15377216"/>
      <w:bookmarkStart w:id="85" w:name="_Toc9924"/>
      <w:r>
        <w:rPr>
          <w:rFonts w:ascii="仿宋_GB2312" w:eastAsia="仿宋_GB2312" w:hAnsi="仿宋_GB2312" w:cs="仿宋_GB2312" w:hint="eastAsia"/>
          <w:b/>
          <w:sz w:val="32"/>
          <w:szCs w:val="32"/>
        </w:rPr>
        <w:t>（一）“三公”经费财政拨款支出决算总体情况说明</w:t>
      </w:r>
      <w:bookmarkEnd w:id="84"/>
      <w:bookmarkEnd w:id="85"/>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2022年“三公”经费财政拨款支出决算为0.00万元，完成预算0.00%，较上年增加/减少0.00万元，增长/下降0.00%。</w:t>
      </w:r>
    </w:p>
    <w:p w:rsidR="008024BD" w:rsidRDefault="00C55684">
      <w:pPr>
        <w:spacing w:line="560" w:lineRule="exact"/>
        <w:ind w:firstLine="640"/>
        <w:outlineLvl w:val="2"/>
        <w:rPr>
          <w:rFonts w:ascii="仿宋_GB2312" w:eastAsia="仿宋_GB2312" w:hAnsi="仿宋_GB2312" w:cs="仿宋_GB2312"/>
          <w:b/>
          <w:sz w:val="32"/>
          <w:szCs w:val="32"/>
        </w:rPr>
      </w:pPr>
      <w:bookmarkStart w:id="86" w:name="_Toc15377217"/>
      <w:bookmarkStart w:id="87" w:name="_Toc4421"/>
      <w:r>
        <w:rPr>
          <w:rFonts w:ascii="仿宋_GB2312" w:eastAsia="仿宋_GB2312" w:hAnsi="仿宋_GB2312" w:cs="仿宋_GB2312" w:hint="eastAsia"/>
          <w:b/>
          <w:sz w:val="32"/>
          <w:szCs w:val="32"/>
        </w:rPr>
        <w:t>（二）“三公”经费财政拨款支出决算具体情况说明</w:t>
      </w:r>
      <w:bookmarkEnd w:id="86"/>
      <w:bookmarkEnd w:id="87"/>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2022年“三公”经费财政拨款支出决算中，因公出国（境）费支出决算0.00万元，占0.00%；公务用车购置及运行维护费支出决算0.00万元，占0.00%；公务接待费支出决算0.00万元，占0.00%。具体情况如下：</w:t>
      </w:r>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（图7：“三公”经费财政拨款支出结构）（饼状图）</w:t>
      </w:r>
    </w:p>
    <w:p w:rsidR="008024BD" w:rsidRDefault="00C55684">
      <w:pPr>
        <w:numPr>
          <w:ilvl w:val="0"/>
          <w:numId w:val="2"/>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因公出国（境）经费支出0.00万元，完成预算0.00%。全年安排因公出国（境）团组0次，出国（境）0人。因公出国（境）支出决算比2021年增加/减少0.00万元，增长/下降0.00%。</w:t>
      </w:r>
    </w:p>
    <w:p w:rsidR="008024BD" w:rsidRDefault="00C5568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2.公务用车购置及运行维护费支出0.00万元,完成预算0.00%。公务用车购置及运行维护费支出决算比2021年增加/减少0.00万元，增长/下降0.00%。</w:t>
      </w:r>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其中：公务用车购置支出0.00万元。全年按规定更新购置公务用车0辆，其中：轿车0辆、金额0.00万元，越野车0辆、金额0.00万元，载客汽车0辆、金额0.00万元。截至2022年12月底，单位共有公务用车0辆，其中：轿车</w:t>
      </w:r>
      <w:r>
        <w:rPr>
          <w:rFonts w:ascii="仿宋_GB2312" w:eastAsia="仿宋_GB2312" w:hAnsi="仿宋_GB2312" w:cs="仿宋_GB2312" w:hint="eastAsia"/>
          <w:sz w:val="32"/>
          <w:szCs w:val="32"/>
        </w:rPr>
        <w:lastRenderedPageBreak/>
        <w:t>0辆、越野车0辆、载客汽车0辆。</w:t>
      </w:r>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公务用车运行维护费支出0.00万元。</w:t>
      </w:r>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3.公务接待费支出0.00万元，完成预算0.00%。公务接待费支出决算比2021年增加/减少0.00万元，增长/下降0.00%。其中：</w:t>
      </w:r>
    </w:p>
    <w:p w:rsidR="008024BD" w:rsidRDefault="00C5568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国内公务接待支出0.00万元。国内公务接待0批次，0人次（不包括陪同人员），共计支出0.00万元。</w:t>
      </w:r>
    </w:p>
    <w:p w:rsidR="008024BD" w:rsidRDefault="00C55684">
      <w:pPr>
        <w:spacing w:line="560" w:lineRule="exact"/>
        <w:ind w:firstLine="640"/>
        <w:rPr>
          <w:rFonts w:ascii="黑体" w:eastAsia="黑体"/>
          <w:sz w:val="32"/>
          <w:szCs w:val="32"/>
        </w:rPr>
      </w:pPr>
      <w:r>
        <w:rPr>
          <w:rFonts w:ascii="仿宋_GB2312" w:eastAsia="仿宋_GB2312" w:hAnsi="仿宋_GB2312" w:cs="仿宋_GB2312" w:hint="eastAsia"/>
          <w:sz w:val="32"/>
          <w:szCs w:val="32"/>
        </w:rPr>
        <w:t>外事接待支出0.00万元。外事接待0批次，0人次（不包括陪同人员），共计支出0.00万元。</w:t>
      </w:r>
      <w:bookmarkStart w:id="88" w:name="_Toc15396610"/>
      <w:bookmarkStart w:id="89" w:name="_Toc15377218"/>
    </w:p>
    <w:p w:rsidR="008024BD" w:rsidRDefault="00C55684">
      <w:pPr>
        <w:spacing w:line="600" w:lineRule="exact"/>
        <w:ind w:firstLine="640"/>
        <w:outlineLvl w:val="1"/>
        <w:rPr>
          <w:rStyle w:val="22"/>
          <w:rFonts w:ascii="黑体" w:eastAsia="黑体" w:hAnsi="黑体"/>
        </w:rPr>
      </w:pPr>
      <w:bookmarkStart w:id="90" w:name="_Toc6940"/>
      <w:bookmarkStart w:id="91" w:name="_Toc18313_WPSOffice_Level2"/>
      <w:bookmarkStart w:id="92" w:name="_Toc29434"/>
      <w:r>
        <w:rPr>
          <w:rFonts w:ascii="黑体" w:eastAsia="黑体" w:hint="eastAsia"/>
          <w:sz w:val="32"/>
          <w:szCs w:val="32"/>
        </w:rPr>
        <w:t>八、</w:t>
      </w:r>
      <w:r>
        <w:rPr>
          <w:rStyle w:val="22"/>
          <w:rFonts w:ascii="黑体" w:eastAsia="黑体" w:hAnsi="黑体" w:hint="eastAsia"/>
          <w:b w:val="0"/>
        </w:rPr>
        <w:t>政府性基金预算支出决算情况说明</w:t>
      </w:r>
      <w:bookmarkEnd w:id="88"/>
      <w:bookmarkEnd w:id="89"/>
      <w:bookmarkEnd w:id="90"/>
      <w:bookmarkEnd w:id="91"/>
      <w:bookmarkEnd w:id="92"/>
    </w:p>
    <w:p w:rsidR="008024BD" w:rsidRDefault="00C55684">
      <w:pPr>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2022年政府性基金预算财政拨款支出1000.00万元。</w:t>
      </w:r>
    </w:p>
    <w:p w:rsidR="008024BD" w:rsidRDefault="00C55684">
      <w:pPr>
        <w:numPr>
          <w:ilvl w:val="0"/>
          <w:numId w:val="3"/>
        </w:numPr>
        <w:spacing w:line="600" w:lineRule="exact"/>
        <w:ind w:firstLine="640"/>
        <w:outlineLvl w:val="1"/>
        <w:rPr>
          <w:rStyle w:val="22"/>
          <w:rFonts w:ascii="黑体" w:eastAsia="黑体" w:hAnsi="黑体"/>
          <w:b w:val="0"/>
        </w:rPr>
      </w:pPr>
      <w:bookmarkStart w:id="93" w:name="_Toc12965"/>
      <w:bookmarkStart w:id="94" w:name="_Toc15396611"/>
      <w:bookmarkStart w:id="95" w:name="_Toc8457"/>
      <w:bookmarkStart w:id="96" w:name="_Toc15283_WPSOffice_Level2"/>
      <w:bookmarkStart w:id="97" w:name="_Toc15377219"/>
      <w:r>
        <w:rPr>
          <w:rStyle w:val="22"/>
          <w:rFonts w:ascii="黑体" w:eastAsia="黑体" w:hAnsi="黑体" w:hint="eastAsia"/>
          <w:b w:val="0"/>
        </w:rPr>
        <w:t>国有资本经营预算支出决算情况说明</w:t>
      </w:r>
      <w:bookmarkEnd w:id="93"/>
      <w:bookmarkEnd w:id="94"/>
      <w:bookmarkEnd w:id="95"/>
      <w:bookmarkEnd w:id="96"/>
      <w:bookmarkEnd w:id="97"/>
    </w:p>
    <w:p w:rsidR="008024BD" w:rsidRDefault="00C55684">
      <w:pPr>
        <w:spacing w:line="600" w:lineRule="exact"/>
        <w:ind w:firstLine="640"/>
        <w:rPr>
          <w:rFonts w:ascii="仿宋" w:eastAsia="仿宋" w:hAnsi="仿宋"/>
          <w:sz w:val="32"/>
          <w:szCs w:val="32"/>
        </w:rPr>
      </w:pPr>
      <w:r>
        <w:rPr>
          <w:rFonts w:ascii="仿宋_GB2312" w:eastAsia="仿宋_GB2312" w:hAnsi="仿宋_GB2312" w:cs="仿宋_GB2312" w:hint="eastAsia"/>
          <w:sz w:val="32"/>
          <w:szCs w:val="32"/>
        </w:rPr>
        <w:t>2022年国有资本经营预算财政拨款支出0.00万元。</w:t>
      </w:r>
    </w:p>
    <w:p w:rsidR="008024BD" w:rsidRDefault="00C55684">
      <w:pPr>
        <w:numPr>
          <w:ilvl w:val="0"/>
          <w:numId w:val="3"/>
        </w:numPr>
        <w:spacing w:line="600" w:lineRule="exact"/>
        <w:ind w:firstLine="640"/>
        <w:outlineLvl w:val="1"/>
        <w:rPr>
          <w:rStyle w:val="22"/>
          <w:rFonts w:ascii="黑体" w:eastAsia="黑体" w:hAnsi="黑体"/>
          <w:b w:val="0"/>
        </w:rPr>
      </w:pPr>
      <w:bookmarkStart w:id="98" w:name="_Toc11254"/>
      <w:bookmarkStart w:id="99" w:name="_Toc17124_WPSOffice_Level2"/>
      <w:bookmarkStart w:id="100" w:name="_Toc15377221"/>
      <w:bookmarkStart w:id="101" w:name="_Toc15396612"/>
      <w:bookmarkStart w:id="102" w:name="_Toc16965"/>
      <w:r>
        <w:rPr>
          <w:rStyle w:val="22"/>
          <w:rFonts w:ascii="黑体" w:eastAsia="黑体" w:hAnsi="黑体" w:hint="eastAsia"/>
          <w:b w:val="0"/>
        </w:rPr>
        <w:t>其他重要事项的情况说明</w:t>
      </w:r>
      <w:bookmarkEnd w:id="98"/>
      <w:bookmarkEnd w:id="99"/>
      <w:bookmarkEnd w:id="100"/>
      <w:bookmarkEnd w:id="101"/>
      <w:bookmarkEnd w:id="102"/>
    </w:p>
    <w:p w:rsidR="008024BD" w:rsidRDefault="00C55684" w:rsidP="00BB5F01">
      <w:pPr>
        <w:spacing w:line="600" w:lineRule="exact"/>
        <w:ind w:firstLineChars="200" w:firstLine="643"/>
        <w:outlineLvl w:val="2"/>
        <w:rPr>
          <w:rFonts w:ascii="仿宋" w:eastAsia="仿宋" w:hAnsi="仿宋"/>
          <w:sz w:val="32"/>
          <w:szCs w:val="32"/>
        </w:rPr>
      </w:pPr>
      <w:bookmarkStart w:id="103" w:name="_Toc15377222"/>
      <w:bookmarkStart w:id="104" w:name="_Toc8956"/>
      <w:r>
        <w:rPr>
          <w:rFonts w:ascii="仿宋" w:eastAsia="仿宋" w:hAnsi="仿宋" w:hint="eastAsia"/>
          <w:b/>
          <w:sz w:val="32"/>
          <w:szCs w:val="32"/>
        </w:rPr>
        <w:t>（一）机关运行经费支出情况</w:t>
      </w:r>
      <w:bookmarkEnd w:id="103"/>
      <w:bookmarkEnd w:id="104"/>
    </w:p>
    <w:p w:rsidR="008024BD" w:rsidRDefault="00C5568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2022年，攀枝花市中西医结合医院机关运行经费支出0.00万元，比2021年增加/减少0.00万元。</w:t>
      </w:r>
    </w:p>
    <w:p w:rsidR="008024BD" w:rsidRDefault="00C55684" w:rsidP="00BB5F01">
      <w:pPr>
        <w:autoSpaceDE w:val="0"/>
        <w:autoSpaceDN w:val="0"/>
        <w:adjustRightInd w:val="0"/>
        <w:spacing w:line="560" w:lineRule="exact"/>
        <w:ind w:firstLineChars="200" w:firstLine="643"/>
        <w:jc w:val="left"/>
        <w:outlineLvl w:val="2"/>
        <w:rPr>
          <w:rFonts w:ascii="仿宋" w:eastAsia="仿宋" w:hAnsi="仿宋"/>
          <w:b/>
          <w:sz w:val="32"/>
          <w:szCs w:val="32"/>
        </w:rPr>
      </w:pPr>
      <w:bookmarkStart w:id="105" w:name="_Toc12589"/>
      <w:bookmarkStart w:id="106" w:name="_Toc15377223"/>
      <w:r>
        <w:rPr>
          <w:rFonts w:ascii="仿宋" w:eastAsia="仿宋" w:hAnsi="仿宋" w:hint="eastAsia"/>
          <w:b/>
          <w:sz w:val="32"/>
          <w:szCs w:val="32"/>
        </w:rPr>
        <w:t>（二）政府采购支出情况</w:t>
      </w:r>
      <w:bookmarkEnd w:id="105"/>
      <w:bookmarkEnd w:id="106"/>
    </w:p>
    <w:p w:rsidR="008024BD" w:rsidRDefault="00C5568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攀枝花市中西医结合医院政府采购支出总额0.00万元，其中：政府采购货物支出0.00万元、政府采购工程支出0.00万元、政府采购服务支出0.00万元。主要用于…（具体工作）。授予中小企业合同金额0.00万元，占政府采购支出总额的0.00%，其中：授予小微企业合同金额0.00</w:t>
      </w:r>
      <w:r>
        <w:rPr>
          <w:rFonts w:ascii="仿宋_GB2312" w:eastAsia="仿宋_GB2312" w:hAnsi="仿宋_GB2312" w:cs="仿宋_GB2312" w:hint="eastAsia"/>
          <w:sz w:val="32"/>
          <w:szCs w:val="32"/>
        </w:rPr>
        <w:lastRenderedPageBreak/>
        <w:t>万元，占政府采购支出总额的0.00%。</w:t>
      </w:r>
    </w:p>
    <w:p w:rsidR="008024BD" w:rsidRDefault="00C55684" w:rsidP="00BB5F01">
      <w:pPr>
        <w:autoSpaceDE w:val="0"/>
        <w:autoSpaceDN w:val="0"/>
        <w:adjustRightInd w:val="0"/>
        <w:spacing w:line="560" w:lineRule="exact"/>
        <w:ind w:firstLineChars="200" w:firstLine="643"/>
        <w:jc w:val="left"/>
        <w:outlineLvl w:val="2"/>
        <w:rPr>
          <w:rFonts w:ascii="仿宋" w:eastAsia="仿宋" w:hAnsi="仿宋"/>
          <w:b/>
          <w:sz w:val="32"/>
          <w:szCs w:val="32"/>
        </w:rPr>
      </w:pPr>
      <w:bookmarkStart w:id="107" w:name="_Toc6206"/>
      <w:bookmarkStart w:id="108" w:name="_Toc15377224"/>
      <w:r>
        <w:rPr>
          <w:rFonts w:ascii="仿宋" w:eastAsia="仿宋" w:hAnsi="仿宋" w:hint="eastAsia"/>
          <w:b/>
          <w:sz w:val="32"/>
          <w:szCs w:val="32"/>
        </w:rPr>
        <w:t>（三）国有资产占有使用情况</w:t>
      </w:r>
      <w:bookmarkEnd w:id="107"/>
      <w:bookmarkEnd w:id="108"/>
    </w:p>
    <w:p w:rsidR="008024BD" w:rsidRDefault="00C5568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2022年12月31日，攀枝花市中西医结合医院共有车辆10辆，其中：主要领导干部用车0辆、机要通信用车0辆、应急保障用车0辆、其他用车10辆，其他用车主要是用于救护任务用车。单价100万元以上专用设备73台（套）。</w:t>
      </w:r>
    </w:p>
    <w:p w:rsidR="008024BD" w:rsidRDefault="00C55684" w:rsidP="00BB5F01">
      <w:pPr>
        <w:autoSpaceDE w:val="0"/>
        <w:autoSpaceDN w:val="0"/>
        <w:adjustRightInd w:val="0"/>
        <w:spacing w:line="560" w:lineRule="exact"/>
        <w:ind w:firstLineChars="200" w:firstLine="643"/>
        <w:jc w:val="left"/>
        <w:outlineLvl w:val="2"/>
        <w:rPr>
          <w:rFonts w:ascii="仿宋" w:eastAsia="仿宋" w:hAnsi="仿宋"/>
          <w:b/>
          <w:sz w:val="32"/>
          <w:szCs w:val="32"/>
        </w:rPr>
      </w:pPr>
      <w:bookmarkStart w:id="109" w:name="_Toc11216"/>
      <w:r>
        <w:rPr>
          <w:rFonts w:ascii="仿宋" w:eastAsia="仿宋" w:hAnsi="仿宋" w:hint="eastAsia"/>
          <w:b/>
          <w:sz w:val="32"/>
          <w:szCs w:val="32"/>
        </w:rPr>
        <w:t>（四）预算绩效管理情况</w:t>
      </w:r>
      <w:bookmarkEnd w:id="109"/>
    </w:p>
    <w:p w:rsidR="008024BD" w:rsidRDefault="00C5568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取消药品加成、机关事业单位基本养老保险缴费支出、援藏援彝干部补助等5个项目开展了预算事前绩效评估，对5个项目编制了绩效目标，预算执行过程中，对所有项目开展绩效监控，年终执行完毕后，对3个项目开展了绩效自评。同时，本部门对2022年部门整体开展绩效自评，攀枝花市中西医结合医院部门整体（含部门预算项目）绩效自评得分为98.50分，绩效自评综述：</w:t>
      </w:r>
      <w:r>
        <w:rPr>
          <w:rFonts w:ascii="仿宋_GB2312" w:eastAsia="仿宋_GB2312" w:hAnsi="仿宋_GB2312" w:cs="仿宋_GB2312" w:hint="eastAsia"/>
          <w:sz w:val="32"/>
          <w:szCs w:val="32"/>
          <w:lang w:val="zh-CN"/>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年我院对财政资金严格管理，成立领导小组，制定管理制度和流程，资金专人专账管理，严格按资金使用范围使用，部门预算财政资金执行进度、各项绩效指标均达到了预期目标，也达到了年度预算的整体目标</w:t>
      </w:r>
      <w:r>
        <w:rPr>
          <w:rFonts w:ascii="仿宋_GB2312" w:eastAsia="仿宋_GB2312" w:hAnsi="仿宋_GB2312" w:cs="仿宋_GB2312" w:hint="eastAsia"/>
          <w:sz w:val="32"/>
          <w:szCs w:val="32"/>
        </w:rPr>
        <w:t>；对取消药品加成、机关事业单位基本养老保险缴费支出、援藏援彝干部补助3个专项预算项目的绩效自评得分为98.50分，绩效自评综述：</w:t>
      </w:r>
      <w:r>
        <w:rPr>
          <w:rFonts w:ascii="仿宋_GB2312" w:eastAsia="仿宋_GB2312" w:hAnsi="仿宋_GB2312" w:cs="仿宋_GB2312" w:hint="eastAsia"/>
          <w:sz w:val="32"/>
          <w:szCs w:val="32"/>
          <w:lang w:val="zh-CN"/>
        </w:rPr>
        <w:t>在项目批复额度和范围内，充分有效的使用了补助资金，购买药品、支付职工工</w:t>
      </w:r>
      <w:r>
        <w:rPr>
          <w:rFonts w:ascii="仿宋_GB2312" w:eastAsia="仿宋_GB2312" w:hAnsi="仿宋_GB2312" w:cs="仿宋_GB2312" w:hint="eastAsia"/>
          <w:sz w:val="32"/>
          <w:szCs w:val="32"/>
          <w:lang w:val="zh-CN"/>
        </w:rPr>
        <w:lastRenderedPageBreak/>
        <w:t>资福利支出及补助，保障正常运转，提升医疗救助水平；更好地满足攀枝花以及川西南、滇西北群众多层次、多元化的医疗卫生健康需求，推动我院打造区域医疗中心工作。</w:t>
      </w:r>
      <w:r>
        <w:rPr>
          <w:rFonts w:ascii="仿宋_GB2312" w:eastAsia="仿宋_GB2312" w:hAnsi="仿宋_GB2312" w:cs="仿宋_GB2312" w:hint="eastAsia"/>
          <w:sz w:val="32"/>
          <w:szCs w:val="32"/>
        </w:rPr>
        <w:t>绩效自评报告详见附件。《2022年攀枝花市中西医结合医院部门整体绩效评价报告》见附件（第四部分）。</w:t>
      </w:r>
    </w:p>
    <w:p w:rsidR="008024BD" w:rsidRDefault="00C55684">
      <w:pPr>
        <w:widowControl/>
        <w:ind w:firstLineChars="200" w:firstLine="643"/>
        <w:jc w:val="left"/>
        <w:rPr>
          <w:rFonts w:ascii="仿宋_GB2312" w:eastAsia="仿宋_GB2312"/>
          <w:b/>
          <w:sz w:val="32"/>
          <w:szCs w:val="32"/>
        </w:rPr>
      </w:pPr>
      <w:r>
        <w:rPr>
          <w:rFonts w:ascii="仿宋_GB2312" w:eastAsia="仿宋_GB2312"/>
          <w:b/>
          <w:sz w:val="32"/>
          <w:szCs w:val="32"/>
        </w:rPr>
        <w:br w:type="page"/>
      </w:r>
    </w:p>
    <w:p w:rsidR="008024BD" w:rsidRDefault="00C55684">
      <w:pPr>
        <w:numPr>
          <w:ilvl w:val="0"/>
          <w:numId w:val="4"/>
        </w:numPr>
        <w:spacing w:line="600" w:lineRule="exact"/>
        <w:ind w:firstLineChars="150" w:firstLine="660"/>
        <w:jc w:val="center"/>
        <w:outlineLvl w:val="0"/>
        <w:rPr>
          <w:rStyle w:val="1Char"/>
          <w:rFonts w:ascii="黑体" w:eastAsia="黑体" w:hAnsi="黑体"/>
          <w:b w:val="0"/>
        </w:rPr>
      </w:pPr>
      <w:bookmarkStart w:id="110" w:name="_Toc31226"/>
      <w:bookmarkStart w:id="111" w:name="_Toc23996"/>
      <w:bookmarkStart w:id="112" w:name="_Toc20430_WPSOffice_Level1"/>
      <w:bookmarkStart w:id="113" w:name="_Toc15377225"/>
      <w:bookmarkStart w:id="11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110"/>
      <w:bookmarkEnd w:id="111"/>
      <w:bookmarkEnd w:id="112"/>
      <w:bookmarkEnd w:id="113"/>
      <w:bookmarkEnd w:id="114"/>
    </w:p>
    <w:p w:rsidR="008024BD" w:rsidRDefault="008024BD">
      <w:pPr>
        <w:spacing w:line="600" w:lineRule="exact"/>
        <w:jc w:val="left"/>
        <w:rPr>
          <w:rFonts w:ascii="宋体"/>
          <w:b/>
          <w:sz w:val="44"/>
          <w:szCs w:val="44"/>
        </w:rPr>
      </w:pP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w:t>
      </w:r>
      <w:r>
        <w:rPr>
          <w:rFonts w:ascii="仿宋_GB2312" w:eastAsia="仿宋_GB2312" w:hint="eastAsia"/>
          <w:sz w:val="32"/>
          <w:szCs w:val="32"/>
        </w:rPr>
        <w:t>房租收入、培训收入、利息收入</w:t>
      </w:r>
      <w:r>
        <w:rPr>
          <w:rFonts w:ascii="仿宋_GB2312" w:eastAsia="仿宋_GB2312" w:hint="eastAsia"/>
          <w:color w:val="auto"/>
          <w:sz w:val="32"/>
          <w:szCs w:val="32"/>
        </w:rPr>
        <w:t>等。</w:t>
      </w:r>
      <w:r>
        <w:rPr>
          <w:rFonts w:ascii="仿宋_GB2312" w:eastAsia="仿宋_GB2312"/>
          <w:color w:val="auto"/>
          <w:sz w:val="32"/>
          <w:szCs w:val="32"/>
        </w:rPr>
        <w:t xml:space="preserve"> </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9、一般公共服务（类）组织事务（款）其他组织事务支出（项）: 指挂职干部补助经费、援彝援藏干部经费。</w:t>
      </w:r>
    </w:p>
    <w:p w:rsidR="008024BD" w:rsidRDefault="00C55684">
      <w:pPr>
        <w:spacing w:line="600" w:lineRule="exact"/>
        <w:ind w:firstLineChars="200" w:firstLine="640"/>
        <w:rPr>
          <w:rFonts w:ascii="仿宋_GB2312" w:eastAsia="仿宋_GB2312"/>
          <w:sz w:val="32"/>
          <w:szCs w:val="32"/>
        </w:rPr>
      </w:pPr>
      <w:r>
        <w:rPr>
          <w:rFonts w:ascii="仿宋_GB2312" w:eastAsia="仿宋_GB2312" w:hAnsi="Calibri" w:cs="仿宋" w:hint="eastAsia"/>
          <w:kern w:val="0"/>
          <w:sz w:val="32"/>
          <w:szCs w:val="32"/>
        </w:rPr>
        <w:t>10.</w:t>
      </w:r>
      <w:r>
        <w:rPr>
          <w:rFonts w:ascii="仿宋_GB2312" w:eastAsia="仿宋_GB2312" w:hint="eastAsia"/>
          <w:sz w:val="32"/>
          <w:szCs w:val="32"/>
        </w:rPr>
        <w:t>科学技术支出（类）技术研究与开发（款）其他技术研究与开发支出（项）: 指新技术研究支出。</w:t>
      </w:r>
    </w:p>
    <w:p w:rsidR="008024BD" w:rsidRDefault="00C55684" w:rsidP="00BB5F01">
      <w:pPr>
        <w:pStyle w:val="a0"/>
        <w:spacing w:before="93"/>
      </w:pPr>
      <w:r>
        <w:rPr>
          <w:rFonts w:hint="eastAsia"/>
          <w:sz w:val="32"/>
          <w:szCs w:val="32"/>
        </w:rPr>
        <w:t xml:space="preserve">    11.科学技术支出（类）其他科学技术支出（款）其他科学技术支出（项）:指新技术治疗支出。</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 xml:space="preserve">12.社会保障和就业支出（类）行政事业单位养老支出（款）事业单位离退休（项）：指事业单位离退休人员的离退休费。  </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13.社会保障和就业支出（类）行政事业单位养老支出（款）机关事业单位基本养老保险缴费支出（项）: 指事业单位在职人员基本养老保险费用。</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14.社会保障和就业支出（类）抚恤（款）死亡抚恤（项）: 指事业单位离退休人员死亡抚恤金 。</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15.卫生健康（类）公立医院（款）中医（民族）医院（项）:指离退休费、遗属生活补助、医疗补助、取消药品加成。</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16.卫生健康（类）公立医院（款）其他公立医院支出（项）:指对公立医院的补助资金，区域医疗中心建设、药品耗材改革、现代医院管理制度等资金。</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17.卫生健康（类）公共卫生（款）基本公共卫生服务（项）:指基本公共卫生补助疾病与健康危害因素监测等资金。</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18.卫生健康（类）公共卫生（款）重大公共卫生服务（项）:指重大公共卫生补助资金，重大传染病防控、新冠检测项目、入川即检核酸检测经费。</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19.卫生健康（类）公共卫生（款）其他公共卫生支出（项）:指干部保健补助资金、对口支援“传帮带”工程资金。</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20.卫生健康（类）中医药（款）中医（民族医）药专项（项）:指对促进中医药发展方面的补助资金，中医药发展专项、中西医结合“旗舰”医院、市县级中医类医院传染病防治能力建设、区域中医疫病防控和紧急医学救援等资金。</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21.卫生健康（类）其他卫生健康支出（款）其他卫生健康支出（项）:指其他卫生事业发展补助资金，乡镇卫生院、社区卫生服务中心骨干人员培训、住院医师规范化培训、医学科学研究等资金。</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22.住房保障支出（类）住房改革支出（款）住房公积金（项）:指职工住房公积金支出。</w:t>
      </w:r>
    </w:p>
    <w:p w:rsidR="008024BD" w:rsidRDefault="00C55684">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23.其他支出（类）其他政府性基金及对应专项债务收入安排的支出（款）其他地方自行试点项目收益专项债券收入安排的支出（项）:指地方政府专项债支持建设支出。</w:t>
      </w:r>
    </w:p>
    <w:p w:rsidR="008024BD" w:rsidRDefault="00C55684">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8024BD" w:rsidRDefault="00C55684">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8024BD" w:rsidRDefault="00C55684">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8024BD" w:rsidRDefault="00C5568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27</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w:t>
      </w:r>
      <w:r>
        <w:rPr>
          <w:rFonts w:ascii="仿宋_GB2312" w:eastAsia="仿宋_GB2312" w:hint="eastAsia"/>
          <w:color w:val="auto"/>
          <w:sz w:val="32"/>
          <w:szCs w:val="32"/>
        </w:rPr>
        <w:lastRenderedPageBreak/>
        <w:t>公务用车购置及运行费反映单位公务用车车辆购置支出（含车辆购置税）及租用费、燃料费、维修费、过路过桥费、保险费等支出；公务接待费反映单位按规定开支的各类公务接待（含外宾接待）支出。</w:t>
      </w:r>
    </w:p>
    <w:p w:rsidR="008024BD" w:rsidRDefault="00C55684">
      <w:pPr>
        <w:pStyle w:val="Default"/>
        <w:spacing w:line="560" w:lineRule="exact"/>
        <w:ind w:firstLineChars="200" w:firstLine="640"/>
        <w:rPr>
          <w:rFonts w:ascii="仿宋_GB2312" w:eastAsia="仿宋_GB2312" w:cs="黑体"/>
          <w:color w:val="auto"/>
          <w:sz w:val="32"/>
          <w:szCs w:val="32"/>
        </w:rPr>
      </w:pPr>
      <w:r>
        <w:rPr>
          <w:rFonts w:ascii="仿宋_GB2312" w:eastAsia="仿宋_GB2312" w:hint="eastAsia"/>
          <w:color w:val="auto"/>
          <w:sz w:val="32"/>
          <w:szCs w:val="32"/>
        </w:rPr>
        <w:t>28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024BD" w:rsidRDefault="00C55684">
      <w:pPr>
        <w:spacing w:line="600" w:lineRule="exact"/>
        <w:jc w:val="center"/>
        <w:outlineLvl w:val="0"/>
        <w:rPr>
          <w:rStyle w:val="1Char"/>
          <w:rFonts w:ascii="黑体" w:eastAsia="黑体" w:hAnsi="黑体"/>
          <w:b w:val="0"/>
        </w:rPr>
      </w:pPr>
      <w:bookmarkStart w:id="115" w:name="_Toc15377226"/>
      <w:r>
        <w:rPr>
          <w:rFonts w:ascii="宋体"/>
          <w:b/>
          <w:sz w:val="44"/>
          <w:szCs w:val="44"/>
        </w:rPr>
        <w:br w:type="page"/>
      </w:r>
      <w:bookmarkStart w:id="116" w:name="_Toc15396614"/>
      <w:bookmarkStart w:id="117" w:name="_Toc27973"/>
      <w:bookmarkStart w:id="118" w:name="_Toc18260_WPSOffice_Level1"/>
      <w:bookmarkStart w:id="119" w:name="_Toc9041"/>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116"/>
      <w:bookmarkEnd w:id="117"/>
      <w:bookmarkEnd w:id="118"/>
      <w:bookmarkEnd w:id="119"/>
    </w:p>
    <w:p w:rsidR="008024BD" w:rsidRDefault="00C55684">
      <w:pPr>
        <w:spacing w:line="572" w:lineRule="exact"/>
        <w:jc w:val="left"/>
        <w:outlineLvl w:val="0"/>
        <w:rPr>
          <w:rFonts w:ascii="方正小标宋简体" w:eastAsia="黑体" w:hAnsi="方正小标宋简体" w:cs="方正小标宋简体"/>
          <w:sz w:val="44"/>
          <w:szCs w:val="44"/>
        </w:rPr>
      </w:pPr>
      <w:bookmarkStart w:id="120" w:name="_Toc19762"/>
      <w:bookmarkStart w:id="121" w:name="_Toc3548"/>
      <w:r>
        <w:rPr>
          <w:rFonts w:ascii="黑体" w:eastAsia="黑体" w:hAnsi="黑体" w:cs="黑体" w:hint="eastAsia"/>
          <w:sz w:val="32"/>
          <w:szCs w:val="32"/>
        </w:rPr>
        <w:t>附件</w:t>
      </w:r>
      <w:bookmarkEnd w:id="120"/>
      <w:bookmarkEnd w:id="121"/>
      <w:r>
        <w:rPr>
          <w:rFonts w:ascii="黑体" w:eastAsia="黑体" w:hAnsi="黑体" w:cs="黑体" w:hint="eastAsia"/>
          <w:sz w:val="32"/>
          <w:szCs w:val="32"/>
        </w:rPr>
        <w:t>1</w:t>
      </w:r>
    </w:p>
    <w:p w:rsidR="008024BD" w:rsidRPr="00C55684" w:rsidRDefault="00C55684">
      <w:pPr>
        <w:widowControl/>
        <w:spacing w:line="560" w:lineRule="exact"/>
        <w:contextualSpacing/>
        <w:jc w:val="center"/>
        <w:rPr>
          <w:rFonts w:ascii="宋体" w:hAnsi="宋体"/>
          <w:b/>
          <w:sz w:val="32"/>
          <w:szCs w:val="32"/>
        </w:rPr>
      </w:pPr>
      <w:bookmarkStart w:id="122" w:name="_Toc13562_WPSOffice_Level2"/>
      <w:r w:rsidRPr="00C55684">
        <w:rPr>
          <w:rFonts w:ascii="宋体" w:hAnsi="宋体" w:hint="eastAsia"/>
          <w:b/>
          <w:sz w:val="32"/>
          <w:szCs w:val="32"/>
        </w:rPr>
        <w:t>2022年攀枝花市中西医结合医院部门整体绩效评价报告</w:t>
      </w:r>
      <w:bookmarkEnd w:id="122"/>
    </w:p>
    <w:p w:rsidR="008024BD" w:rsidRPr="00C55684" w:rsidRDefault="00C55684">
      <w:pPr>
        <w:widowControl/>
        <w:spacing w:line="560" w:lineRule="exact"/>
        <w:contextualSpacing/>
        <w:jc w:val="center"/>
        <w:rPr>
          <w:rFonts w:ascii="宋体" w:hAnsi="宋体"/>
          <w:b/>
          <w:sz w:val="32"/>
          <w:szCs w:val="32"/>
        </w:rPr>
      </w:pPr>
      <w:bookmarkStart w:id="123" w:name="_Toc28587_WPSOffice_Level2"/>
      <w:r w:rsidRPr="00C55684">
        <w:rPr>
          <w:rFonts w:ascii="宋体" w:hAnsi="宋体" w:hint="eastAsia"/>
          <w:b/>
          <w:sz w:val="32"/>
          <w:szCs w:val="32"/>
        </w:rPr>
        <w:t>（报告范围包括机关和下属单位）</w:t>
      </w:r>
      <w:bookmarkEnd w:id="123"/>
    </w:p>
    <w:p w:rsidR="008024BD" w:rsidRDefault="008024BD">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8024BD" w:rsidRDefault="00C55684">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sidRPr="00C55684">
        <w:rPr>
          <w:rFonts w:ascii="黑体" w:eastAsia="黑体" w:hAnsi="宋体" w:cs="宋体" w:hint="eastAsia"/>
          <w:kern w:val="0"/>
          <w:sz w:val="32"/>
          <w:szCs w:val="32"/>
          <w:lang w:val="zh-CN"/>
        </w:rPr>
        <w:t>一、部门（单位）基本情况</w:t>
      </w:r>
    </w:p>
    <w:p w:rsidR="00C55684" w:rsidRDefault="00C55684" w:rsidP="00C55684">
      <w:pPr>
        <w:spacing w:line="560" w:lineRule="exact"/>
        <w:ind w:firstLineChars="150" w:firstLine="482"/>
        <w:rPr>
          <w:rFonts w:ascii="楷体_GB2312" w:eastAsia="楷体_GB2312" w:hAnsi="楷体_GB2312" w:cs="楷体_GB2312"/>
          <w:b/>
          <w:bCs/>
          <w:kern w:val="0"/>
          <w:sz w:val="32"/>
          <w:szCs w:val="32"/>
          <w:lang w:val="zh-CN"/>
        </w:rPr>
      </w:pPr>
      <w:bookmarkStart w:id="124" w:name="_Toc21738_WPSOffice_Level2"/>
      <w:r w:rsidRPr="00C55684">
        <w:rPr>
          <w:rFonts w:ascii="楷体_GB2312" w:eastAsia="楷体_GB2312" w:hAnsi="楷体_GB2312" w:cs="楷体_GB2312" w:hint="eastAsia"/>
          <w:b/>
          <w:bCs/>
          <w:kern w:val="0"/>
          <w:sz w:val="32"/>
          <w:szCs w:val="32"/>
          <w:lang w:val="zh-CN"/>
        </w:rPr>
        <w:t>（一）机构组成</w:t>
      </w:r>
      <w:bookmarkEnd w:id="124"/>
    </w:p>
    <w:p w:rsidR="008024BD" w:rsidRDefault="00C55684" w:rsidP="00C55684">
      <w:pPr>
        <w:spacing w:line="560" w:lineRule="exact"/>
        <w:ind w:firstLineChars="150" w:firstLine="480"/>
        <w:rPr>
          <w:rFonts w:ascii="仿宋_GB2312" w:eastAsia="仿宋_GB2312" w:hAnsi="仿宋_GB2312" w:cs="仿宋_GB2312"/>
          <w:b/>
          <w:bCs/>
          <w:kern w:val="0"/>
          <w:sz w:val="32"/>
          <w:szCs w:val="32"/>
          <w:shd w:val="clear" w:color="auto" w:fill="FFFFFF"/>
          <w:lang w:val="zh-CN"/>
        </w:rPr>
      </w:pPr>
      <w:r>
        <w:rPr>
          <w:rFonts w:ascii="仿宋_GB2312" w:eastAsia="仿宋_GB2312" w:hAnsi="仿宋_GB2312" w:cs="仿宋_GB2312" w:hint="eastAsia"/>
          <w:sz w:val="32"/>
          <w:szCs w:val="32"/>
        </w:rPr>
        <w:t>攀枝花市中西医结合医院参照公务员法管理的一级预算事业单位1个，下属二级预算单位0个，其中行政单位0个，参照公务员法管理的事业单位</w:t>
      </w:r>
      <w:r>
        <w:rPr>
          <w:rFonts w:ascii="仿宋_GB2312" w:eastAsia="仿宋_GB2312" w:hAnsi="仿宋_GB2312" w:cs="仿宋_GB2312" w:hint="eastAsia"/>
          <w:bCs/>
          <w:sz w:val="32"/>
          <w:szCs w:val="32"/>
        </w:rPr>
        <w:t>0</w:t>
      </w:r>
      <w:r>
        <w:rPr>
          <w:rFonts w:ascii="仿宋_GB2312" w:eastAsia="仿宋_GB2312" w:hAnsi="仿宋_GB2312" w:cs="仿宋_GB2312" w:hint="eastAsia"/>
          <w:sz w:val="32"/>
          <w:szCs w:val="32"/>
        </w:rPr>
        <w:t>个，其他事业单位0个。</w:t>
      </w:r>
    </w:p>
    <w:p w:rsidR="00C55684" w:rsidRDefault="00C55684" w:rsidP="00C55684">
      <w:pPr>
        <w:snapToGrid w:val="0"/>
        <w:spacing w:line="560" w:lineRule="exact"/>
        <w:ind w:firstLineChars="150" w:firstLine="482"/>
        <w:rPr>
          <w:rFonts w:ascii="楷体_GB2312" w:eastAsia="楷体_GB2312" w:hAnsi="楷体_GB2312" w:cs="楷体_GB2312"/>
          <w:b/>
          <w:bCs/>
          <w:kern w:val="0"/>
          <w:sz w:val="32"/>
          <w:szCs w:val="32"/>
          <w:lang w:val="zh-CN"/>
        </w:rPr>
      </w:pPr>
      <w:bookmarkStart w:id="125" w:name="_Toc19622_WPSOffice_Level2"/>
      <w:r w:rsidRPr="00C55684">
        <w:rPr>
          <w:rFonts w:ascii="楷体_GB2312" w:eastAsia="楷体_GB2312" w:hAnsi="楷体_GB2312" w:cs="楷体_GB2312" w:hint="eastAsia"/>
          <w:b/>
          <w:bCs/>
          <w:kern w:val="0"/>
          <w:sz w:val="32"/>
          <w:szCs w:val="32"/>
          <w:lang w:val="zh-CN"/>
        </w:rPr>
        <w:t>（二）机构职能和人员概况</w:t>
      </w:r>
      <w:bookmarkStart w:id="126" w:name="_Toc30910_WPSOffice_Level2"/>
      <w:bookmarkEnd w:id="125"/>
    </w:p>
    <w:p w:rsidR="008024BD" w:rsidRDefault="00C55684" w:rsidP="00C55684">
      <w:pPr>
        <w:snapToGrid w:val="0"/>
        <w:spacing w:line="560" w:lineRule="exact"/>
        <w:ind w:firstLineChars="150" w:firstLine="482"/>
        <w:rPr>
          <w:rFonts w:ascii="仿宋_GB2312" w:eastAsia="仿宋_GB2312" w:hAnsi="仿宋"/>
          <w:sz w:val="32"/>
          <w:szCs w:val="32"/>
        </w:rPr>
      </w:pPr>
      <w:r>
        <w:rPr>
          <w:rFonts w:ascii="仿宋_GB2312" w:eastAsia="仿宋_GB2312" w:hAnsi="仿宋_GB2312" w:cs="仿宋_GB2312" w:hint="eastAsia"/>
          <w:b/>
          <w:bCs/>
          <w:color w:val="000000"/>
          <w:sz w:val="32"/>
          <w:szCs w:val="32"/>
        </w:rPr>
        <w:t>职能参照省政府批准的三定方案:</w:t>
      </w:r>
      <w:r>
        <w:rPr>
          <w:rFonts w:ascii="仿宋_GB2312" w:eastAsia="仿宋_GB2312" w:hAnsi="仿宋_GB2312" w:cs="仿宋_GB2312" w:hint="eastAsia"/>
          <w:color w:val="000000"/>
          <w:sz w:val="32"/>
          <w:szCs w:val="32"/>
        </w:rPr>
        <w:t>攀枝花市中西医结合医院是集医疗、预防、保健与健康教育、科研、教学为一体的三级甲等中西医结合医院。主要服务攀枝花市百万人口，辐射云南省华坪、宁蒗、永胜、凉山州会理、会东、宁南、德昌、盐源、木里等县，承担医疗、预防、保健工作、市内传染病、职业病和非传染性慢性病的防控，群众健康教育工作以及应对各种突发性公共卫生事件和医疗抢救工作。</w:t>
      </w:r>
    </w:p>
    <w:p w:rsidR="008024BD" w:rsidRDefault="00C5568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院现有在岗职工1526人，其中在编职工461人，招聘人员1065人。包含卫生专业人员1323人（其中主任医师72人，副主任医师107人，主治医师133人，住院医师170人，药师（士）59人，技师（士）98人，主任护师16人，副主任护师46人，其他护士622人），机关后勤人员50人，工勤技能人员153人。</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机构人员当年变动情况及原因：</w:t>
      </w:r>
    </w:p>
    <w:p w:rsidR="008024BD" w:rsidRDefault="00C55684">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本年度增加247名在岗职工，其中：</w:t>
      </w:r>
      <w:r>
        <w:rPr>
          <w:rFonts w:ascii="仿宋_GB2312" w:eastAsia="仿宋_GB2312" w:hAnsi="仿宋_GB2312" w:cs="仿宋_GB2312" w:hint="eastAsia"/>
          <w:sz w:val="32"/>
          <w:szCs w:val="32"/>
        </w:rPr>
        <w:t>今年新进人员265名；新增15名退休人员,3名职工辞职。</w:t>
      </w:r>
    </w:p>
    <w:p w:rsidR="008024BD" w:rsidRPr="00C55684" w:rsidRDefault="00C55684">
      <w:pPr>
        <w:widowControl/>
        <w:numPr>
          <w:ilvl w:val="0"/>
          <w:numId w:val="5"/>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年度主要工作任务</w:t>
      </w:r>
      <w:bookmarkEnd w:id="126"/>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（1）、全年门诊量1146271人次，其中：门急诊1014687人次，健康检查131584人。同比增长3.73%，平均每门诊人次收费水平341.39元，较上年同期下降0.97%；</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2022年度开设病床800张。本年度实际开放床日456250日，实际占用床日452855日（其中：出院者占用床446328日），病床使用率99.26%。本年度实际占用床日比上年同期增加4108日，每床日平均收费1135.65元（其中：药品225.25元），较上年同期下降19.66%。</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年初留院病人1003人，本年入院病人50700人，较上年上升11.76%，全年出院人次49867人次，同比上升7.56%；年末留院病人1836人。本年度出院病人治疗情况：合计49867人，其中：治愈26722人，好转21172人，未愈365人，死亡606人，其他1092人。</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（4）、本年度医院中、西药房完成处方配方1934318张（其中：门诊西药房配方832215张，中药房配方864541剂）。西药配方较上年同期上升5.20%，中药配方较上年同期上升55.48%。</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（5）、医院固定资产情况</w:t>
      </w:r>
    </w:p>
    <w:p w:rsidR="008024BD" w:rsidRDefault="00C55684">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医院拥有固定资产806,901,376.13元，其中：房屋及构筑物341,438,663.4元，通用设备46,570,345.15元,专</w:t>
      </w:r>
      <w:r>
        <w:rPr>
          <w:rFonts w:ascii="仿宋_GB2312" w:eastAsia="仿宋_GB2312" w:hAnsi="仿宋_GB2312" w:cs="仿宋_GB2312" w:hint="eastAsia"/>
          <w:color w:val="000000"/>
          <w:sz w:val="32"/>
          <w:szCs w:val="32"/>
        </w:rPr>
        <w:lastRenderedPageBreak/>
        <w:t>用设备416,416,486.49元,图书、档案194,421.09元,家具、用具、装具及动植物2,281,460.00元。医院拥有房屋建筑面积93,166平方米，其中：医疗用房建筑面积77,410.71平方米.</w:t>
      </w:r>
    </w:p>
    <w:p w:rsidR="008024BD" w:rsidRDefault="00C55684">
      <w:pPr>
        <w:snapToGrid w:val="0"/>
        <w:spacing w:line="560" w:lineRule="exact"/>
        <w:ind w:firstLineChars="200" w:firstLine="640"/>
        <w:rPr>
          <w:lang w:val="zh-CN"/>
        </w:rPr>
      </w:pPr>
      <w:r>
        <w:rPr>
          <w:rFonts w:ascii="仿宋_GB2312" w:eastAsia="仿宋_GB2312" w:hAnsi="仿宋_GB2312" w:cs="仿宋_GB2312" w:hint="eastAsia"/>
          <w:color w:val="000000"/>
          <w:sz w:val="32"/>
          <w:szCs w:val="32"/>
        </w:rPr>
        <w:t>2022年新增1万元以上设备79台，价值20,363,638.94元。</w:t>
      </w:r>
    </w:p>
    <w:p w:rsidR="008024BD" w:rsidRPr="00C55684" w:rsidRDefault="00C55684">
      <w:pPr>
        <w:widowControl/>
        <w:numPr>
          <w:ilvl w:val="0"/>
          <w:numId w:val="5"/>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bookmarkStart w:id="127" w:name="_Toc23938_WPSOffice_Level2"/>
      <w:r w:rsidRPr="00C55684">
        <w:rPr>
          <w:rFonts w:ascii="楷体_GB2312" w:eastAsia="楷体_GB2312" w:hAnsi="楷体_GB2312" w:cs="楷体_GB2312" w:hint="eastAsia"/>
          <w:b/>
          <w:bCs/>
          <w:kern w:val="0"/>
          <w:sz w:val="32"/>
          <w:szCs w:val="32"/>
          <w:lang w:val="zh-CN"/>
        </w:rPr>
        <w:t>部门整体支出绩效目标</w:t>
      </w:r>
      <w:bookmarkEnd w:id="127"/>
    </w:p>
    <w:p w:rsidR="008024BD" w:rsidRDefault="00C55684" w:rsidP="00BB5F01">
      <w:pPr>
        <w:pStyle w:val="a0"/>
        <w:spacing w:before="93" w:line="560" w:lineRule="exact"/>
        <w:ind w:leftChars="200" w:left="420"/>
      </w:pPr>
      <w:r>
        <w:rPr>
          <w:rFonts w:hint="eastAsia"/>
        </w:rPr>
        <w:t xml:space="preserve">    服务全市人民及川滇周边市县，承担医疗、预防、保健、教学、中医药发展工作、群众健康教育以及应对各种突发公共卫生事件和医疗抢救工作;确保医院正常运行,促进医疗卫生事业高质量发展,建立区域医疗卫生中心。</w:t>
      </w:r>
    </w:p>
    <w:p w:rsidR="008024BD" w:rsidRPr="00C55684" w:rsidRDefault="00C55684">
      <w:pPr>
        <w:widowControl/>
        <w:adjustRightInd w:val="0"/>
        <w:snapToGrid w:val="0"/>
        <w:spacing w:line="560" w:lineRule="exact"/>
        <w:ind w:firstLineChars="200" w:firstLine="640"/>
        <w:contextualSpacing/>
        <w:jc w:val="left"/>
        <w:rPr>
          <w:rFonts w:ascii="黑体" w:eastAsia="黑体" w:hAnsi="宋体" w:cs="宋体"/>
          <w:kern w:val="0"/>
          <w:sz w:val="32"/>
          <w:szCs w:val="32"/>
        </w:rPr>
      </w:pPr>
      <w:r w:rsidRPr="00C55684">
        <w:rPr>
          <w:rFonts w:ascii="黑体" w:eastAsia="黑体" w:hAnsi="宋体" w:cs="宋体" w:hint="eastAsia"/>
          <w:kern w:val="0"/>
          <w:sz w:val="32"/>
          <w:szCs w:val="32"/>
        </w:rPr>
        <w:t>二、部门资金收支情况</w:t>
      </w:r>
    </w:p>
    <w:p w:rsidR="008024BD" w:rsidRPr="00C55684" w:rsidRDefault="00C5568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（一）部门总体收支情况</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1.部门总体收入情况，2022年收入合计104,117.32万元，其中：一般公共预算财政拨款收入3,813.6万元，政府性基金预算财政拨款收入4,000.00万元，事业收入94,917.95万元，其他收入1,385.77万元；使用年初结转和结余583.71万元。</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2.部门总体支出情况，2022年支出合计102,701.35万元，一般公共服务支出14.52万元，科学技术支出55.00万元，社会保障和就业支出2,520.25万元，卫生健康支出94,091.02万元，住房保障支出2,020.56万元，其他支出4,000.00万元。</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lastRenderedPageBreak/>
        <w:t>3.部门总体结转结余情况，使用财政拨款年初结转和结余583.71万元，2022年结余1,999.68万元。</w:t>
      </w:r>
    </w:p>
    <w:p w:rsidR="008024BD" w:rsidRPr="00C55684" w:rsidRDefault="00C5568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（二）部门财政拨款收支情况</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1.部门财政拨款收入情况，2022年财政拨款收入7,813.60万元，其中一般公共预算财政拨款收入3,813.6万元，政府性基金预算财政拨款收入4,000.00万元。</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2.部门财政拨款支出情况，2022年财政拨款支出8,397.32万元，其中一般公共服务支出14.52万元，科学技术支出55.00万元，社会保障和就业支出1,665.51万元，卫生健康支出2,662.29万元，其他支出4,000.00万元。</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3.部门财政拨款结转结余情况，2022年无财政拨款结转结余资金。</w:t>
      </w:r>
    </w:p>
    <w:p w:rsidR="008024BD" w:rsidRPr="00C55684" w:rsidRDefault="00C55684">
      <w:pPr>
        <w:widowControl/>
        <w:adjustRightInd w:val="0"/>
        <w:snapToGrid w:val="0"/>
        <w:spacing w:line="560" w:lineRule="exact"/>
        <w:ind w:firstLineChars="200" w:firstLine="640"/>
        <w:contextualSpacing/>
        <w:jc w:val="left"/>
        <w:rPr>
          <w:rFonts w:ascii="黑体" w:eastAsia="黑体" w:hAnsi="宋体" w:cs="宋体"/>
          <w:kern w:val="0"/>
          <w:sz w:val="32"/>
          <w:szCs w:val="32"/>
        </w:rPr>
      </w:pPr>
      <w:r w:rsidRPr="00C55684">
        <w:rPr>
          <w:rFonts w:ascii="黑体" w:eastAsia="黑体" w:hAnsi="宋体" w:cs="宋体" w:hint="eastAsia"/>
          <w:kern w:val="0"/>
          <w:sz w:val="32"/>
          <w:szCs w:val="32"/>
        </w:rPr>
        <w:t>三、部门整体绩效分析</w:t>
      </w:r>
    </w:p>
    <w:p w:rsidR="008024BD" w:rsidRPr="00C55684" w:rsidRDefault="00C55684">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lang w:val="zh-CN"/>
        </w:rPr>
      </w:pPr>
      <w:r w:rsidRPr="00C55684">
        <w:rPr>
          <w:rFonts w:ascii="楷体_GB2312" w:eastAsia="楷体_GB2312" w:hAnsi="楷体_GB2312" w:cs="楷体_GB2312" w:hint="eastAsia"/>
          <w:b/>
          <w:bCs/>
          <w:kern w:val="0"/>
          <w:sz w:val="32"/>
          <w:szCs w:val="32"/>
          <w:lang w:val="zh-CN"/>
        </w:rPr>
        <w:t>（一）部门预算项目绩效分析</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1.人员类项目绩效分析</w:t>
      </w:r>
    </w:p>
    <w:p w:rsidR="008024BD" w:rsidRPr="00C55684" w:rsidRDefault="00C55684" w:rsidP="00BB5F01">
      <w:pPr>
        <w:pStyle w:val="a0"/>
        <w:spacing w:before="93" w:line="560" w:lineRule="exact"/>
      </w:pPr>
      <w:r w:rsidRPr="00C55684">
        <w:rPr>
          <w:rFonts w:hAnsi="仿宋_GB2312" w:cs="仿宋_GB2312" w:hint="eastAsia"/>
          <w:sz w:val="32"/>
          <w:szCs w:val="32"/>
        </w:rPr>
        <w:t xml:space="preserve">    2022年人员类项目资金严格按照资金用途、使用方向使用资金，保证制定的绩效目标实现，严格执行无预算不支出，及时使用项目资金，资金支付到位，预算执行率100.00%，资金年末无结余。</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2.运转类项目绩效分析</w:t>
      </w:r>
    </w:p>
    <w:p w:rsidR="008024BD" w:rsidRPr="00C55684" w:rsidRDefault="00C55684">
      <w:pPr>
        <w:widowControl/>
        <w:adjustRightInd w:val="0"/>
        <w:snapToGrid w:val="0"/>
        <w:spacing w:line="560" w:lineRule="exact"/>
        <w:ind w:firstLineChars="200" w:firstLine="640"/>
        <w:contextualSpacing/>
        <w:jc w:val="left"/>
        <w:rPr>
          <w:rFonts w:hAnsi="仿宋_GB2312" w:cs="仿宋_GB2312"/>
          <w:kern w:val="0"/>
          <w:sz w:val="32"/>
          <w:szCs w:val="32"/>
        </w:rPr>
      </w:pPr>
      <w:r w:rsidRPr="00C55684">
        <w:rPr>
          <w:rFonts w:hAnsi="仿宋_GB2312" w:cs="仿宋_GB2312" w:hint="eastAsia"/>
          <w:kern w:val="0"/>
          <w:sz w:val="32"/>
          <w:szCs w:val="32"/>
        </w:rPr>
        <w:t xml:space="preserve"> </w:t>
      </w:r>
      <w:r w:rsidRPr="00C55684">
        <w:rPr>
          <w:rFonts w:ascii="仿宋_GB2312" w:eastAsia="仿宋_GB2312" w:hAnsi="仿宋_GB2312" w:cs="仿宋_GB2312" w:hint="eastAsia"/>
          <w:kern w:val="0"/>
          <w:sz w:val="32"/>
          <w:szCs w:val="32"/>
        </w:rPr>
        <w:t>2022年运转类项目资金严格按照资金用途、使用方向使用资金，保证制定的绩效目标实现，严格执行无预算不支出，及时使用项目资金，资金支付到位，保障运转，预算执行率100.00%，资金年末无结余。</w:t>
      </w:r>
      <w:r w:rsidRPr="00C55684">
        <w:rPr>
          <w:rFonts w:hAnsi="仿宋_GB2312" w:cs="仿宋_GB2312" w:hint="eastAsia"/>
          <w:kern w:val="0"/>
          <w:sz w:val="32"/>
          <w:szCs w:val="32"/>
        </w:rPr>
        <w:t xml:space="preserve"> </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lastRenderedPageBreak/>
        <w:t>3.特定目标类项目绩效分析</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rPr>
      </w:pPr>
      <w:r w:rsidRPr="00C55684">
        <w:rPr>
          <w:rFonts w:hAnsi="仿宋_GB2312" w:cs="仿宋_GB2312" w:hint="eastAsia"/>
          <w:kern w:val="0"/>
          <w:sz w:val="32"/>
          <w:szCs w:val="32"/>
        </w:rPr>
        <w:t xml:space="preserve"> </w:t>
      </w:r>
      <w:r w:rsidRPr="00C55684">
        <w:rPr>
          <w:rFonts w:ascii="仿宋_GB2312" w:eastAsia="仿宋_GB2312" w:hAnsi="仿宋_GB2312" w:cs="仿宋_GB2312" w:hint="eastAsia"/>
          <w:kern w:val="0"/>
          <w:sz w:val="32"/>
          <w:szCs w:val="32"/>
        </w:rPr>
        <w:t>2022年特定目标类项目资金严格按照资金用途、使用方向使用资金，保证制定的绩效目标实现，严格执行无预算不支出，及时使用项目资金，资金支付到位，保证特定目标的实现，预算执行率100.00%，资金年末无结余。</w:t>
      </w:r>
    </w:p>
    <w:p w:rsidR="008024BD" w:rsidRPr="00C55684" w:rsidRDefault="00C5568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（二）部门整体履职绩效分析</w:t>
      </w:r>
    </w:p>
    <w:p w:rsidR="008024BD" w:rsidRDefault="00C55684" w:rsidP="00BB5F01">
      <w:pPr>
        <w:pStyle w:val="a0"/>
        <w:spacing w:before="93" w:line="560" w:lineRule="exact"/>
      </w:pPr>
      <w:r w:rsidRPr="00C55684">
        <w:rPr>
          <w:rFonts w:hAnsi="仿宋_GB2312" w:cs="仿宋_GB2312" w:hint="eastAsia"/>
          <w:sz w:val="32"/>
          <w:szCs w:val="32"/>
        </w:rPr>
        <w:t xml:space="preserve">    </w:t>
      </w:r>
      <w:r w:rsidRPr="00C55684">
        <w:rPr>
          <w:rFonts w:hAnsi="仿宋_GB2312" w:cs="仿宋_GB2312" w:hint="eastAsia"/>
          <w:color w:val="000000"/>
          <w:sz w:val="32"/>
          <w:szCs w:val="32"/>
          <w:lang w:val="zh-CN"/>
        </w:rPr>
        <w:t>20</w:t>
      </w:r>
      <w:r w:rsidRPr="00C55684">
        <w:rPr>
          <w:rFonts w:hAnsi="仿宋_GB2312" w:cs="仿宋_GB2312" w:hint="eastAsia"/>
          <w:color w:val="000000"/>
          <w:sz w:val="32"/>
          <w:szCs w:val="32"/>
        </w:rPr>
        <w:t>22</w:t>
      </w:r>
      <w:r w:rsidRPr="00C55684">
        <w:rPr>
          <w:rFonts w:hAnsi="仿宋_GB2312" w:cs="仿宋_GB2312" w:hint="eastAsia"/>
          <w:color w:val="000000"/>
          <w:sz w:val="32"/>
          <w:szCs w:val="32"/>
          <w:lang w:val="zh-CN"/>
        </w:rPr>
        <w:t>年我院对财政资金严格管理</w:t>
      </w:r>
      <w:r>
        <w:rPr>
          <w:rFonts w:hAnsi="仿宋_GB2312" w:cs="仿宋_GB2312" w:hint="eastAsia"/>
          <w:color w:val="000000"/>
          <w:sz w:val="32"/>
          <w:szCs w:val="32"/>
          <w:lang w:val="zh-CN"/>
        </w:rPr>
        <w:t>，成立领导小组，专人专账管理，严格按资金使用范围使用，部门预算财政资金执行进度、各项绩效指标均达到了预期目标，达到了年度预算的整体目标。</w:t>
      </w:r>
    </w:p>
    <w:p w:rsidR="008024BD" w:rsidRPr="00C55684" w:rsidRDefault="00C5568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（三）结果应用情况</w:t>
      </w:r>
    </w:p>
    <w:p w:rsidR="008024BD" w:rsidRDefault="00C55684" w:rsidP="00BB5F01">
      <w:pPr>
        <w:pStyle w:val="a0"/>
        <w:spacing w:before="93" w:line="560" w:lineRule="exact"/>
        <w:ind w:firstLineChars="200" w:firstLine="640"/>
        <w:rPr>
          <w:rFonts w:hAnsi="仿宋_GB2312" w:cs="仿宋_GB2312"/>
          <w:color w:val="000000"/>
          <w:sz w:val="32"/>
          <w:szCs w:val="32"/>
        </w:rPr>
      </w:pPr>
      <w:r>
        <w:rPr>
          <w:rFonts w:hAnsi="仿宋_GB2312" w:cs="仿宋_GB2312" w:hint="eastAsia"/>
          <w:color w:val="000000"/>
          <w:sz w:val="32"/>
          <w:szCs w:val="32"/>
          <w:lang w:val="zh-CN"/>
        </w:rPr>
        <w:t>自评结果将应用于科室考核，按绩效评价结果进行奖惩；将自评中发现的问题在以后的预算编制和执行中改进。对自评结果进行公开公示。</w:t>
      </w:r>
    </w:p>
    <w:p w:rsidR="008024BD" w:rsidRPr="00C55684" w:rsidRDefault="00C55684">
      <w:pPr>
        <w:widowControl/>
        <w:numPr>
          <w:ilvl w:val="0"/>
          <w:numId w:val="6"/>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自评质量</w:t>
      </w:r>
    </w:p>
    <w:p w:rsidR="008024BD" w:rsidRPr="00C55684" w:rsidRDefault="00C55684">
      <w:pPr>
        <w:widowControl/>
        <w:adjustRightInd w:val="0"/>
        <w:snapToGrid w:val="0"/>
        <w:spacing w:line="560" w:lineRule="exact"/>
        <w:contextualSpacing/>
        <w:jc w:val="left"/>
        <w:rPr>
          <w:rFonts w:eastAsia="仿宋_GB2312"/>
        </w:rPr>
      </w:pPr>
      <w:r w:rsidRPr="00C55684">
        <w:rPr>
          <w:rFonts w:hAnsi="仿宋_GB2312" w:cs="仿宋_GB2312" w:hint="eastAsia"/>
          <w:kern w:val="0"/>
          <w:sz w:val="32"/>
          <w:szCs w:val="32"/>
        </w:rPr>
        <w:t xml:space="preserve">    </w:t>
      </w:r>
      <w:r w:rsidRPr="00C55684">
        <w:rPr>
          <w:rFonts w:ascii="仿宋_GB2312" w:eastAsia="仿宋_GB2312" w:hAnsi="宋体" w:cs="宋体" w:hint="eastAsia"/>
          <w:kern w:val="0"/>
          <w:sz w:val="32"/>
          <w:szCs w:val="32"/>
        </w:rPr>
        <w:t>成立自评工作小组，对项目具体实施情况与项目预算绩效进行对比，对数量指标、质量指标、成本指标、时效指标、效益指标及满意度指标等进行核实，形成自评报告，自评报告质量较高.</w:t>
      </w:r>
    </w:p>
    <w:p w:rsidR="008024BD" w:rsidRPr="00C55684" w:rsidRDefault="00C55684">
      <w:pPr>
        <w:widowControl/>
        <w:adjustRightInd w:val="0"/>
        <w:snapToGrid w:val="0"/>
        <w:spacing w:line="560" w:lineRule="exact"/>
        <w:ind w:firstLineChars="200" w:firstLine="640"/>
        <w:contextualSpacing/>
        <w:jc w:val="left"/>
        <w:rPr>
          <w:rFonts w:ascii="黑体" w:eastAsia="黑体" w:hAnsi="宋体" w:cs="宋体"/>
          <w:kern w:val="0"/>
          <w:sz w:val="32"/>
          <w:szCs w:val="32"/>
        </w:rPr>
      </w:pPr>
      <w:r w:rsidRPr="00C55684">
        <w:rPr>
          <w:rFonts w:ascii="黑体" w:eastAsia="黑体" w:hAnsi="宋体" w:cs="宋体" w:hint="eastAsia"/>
          <w:kern w:val="0"/>
          <w:sz w:val="32"/>
          <w:szCs w:val="32"/>
        </w:rPr>
        <w:t>四、评价结论及建议</w:t>
      </w:r>
    </w:p>
    <w:p w:rsidR="008024BD" w:rsidRPr="00C55684" w:rsidRDefault="00C5568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（一）评价结论</w:t>
      </w:r>
    </w:p>
    <w:p w:rsidR="008024BD" w:rsidRPr="00C55684" w:rsidRDefault="00C55684" w:rsidP="00C55684">
      <w:pPr>
        <w:spacing w:line="560" w:lineRule="exact"/>
        <w:ind w:firstLineChars="200" w:firstLine="640"/>
        <w:rPr>
          <w:rFonts w:ascii="仿宋_GB2312" w:eastAsia="仿宋_GB2312" w:hAnsi="仿宋_GB2312" w:cs="仿宋_GB2312"/>
          <w:color w:val="000000"/>
          <w:kern w:val="0"/>
          <w:sz w:val="32"/>
          <w:szCs w:val="32"/>
          <w:lang w:val="zh-CN"/>
        </w:rPr>
      </w:pPr>
      <w:r w:rsidRPr="00C55684">
        <w:rPr>
          <w:rFonts w:ascii="仿宋_GB2312" w:eastAsia="仿宋_GB2312" w:hAnsi="仿宋_GB2312" w:cs="仿宋_GB2312" w:hint="eastAsia"/>
          <w:color w:val="000000"/>
          <w:kern w:val="0"/>
          <w:sz w:val="32"/>
          <w:szCs w:val="32"/>
          <w:lang w:val="zh-CN"/>
        </w:rPr>
        <w:t>2022年我院对财政资金严格管理，成立领导小组，制定管理制度和流程，资金专人专账管理，严格按资金使用范围使用，部门预算财政资金执行进度、各项绩效指标均达到了</w:t>
      </w:r>
      <w:r w:rsidRPr="00C55684">
        <w:rPr>
          <w:rFonts w:ascii="仿宋_GB2312" w:eastAsia="仿宋_GB2312" w:hAnsi="仿宋_GB2312" w:cs="仿宋_GB2312" w:hint="eastAsia"/>
          <w:color w:val="000000"/>
          <w:kern w:val="0"/>
          <w:sz w:val="32"/>
          <w:szCs w:val="32"/>
          <w:lang w:val="zh-CN"/>
        </w:rPr>
        <w:lastRenderedPageBreak/>
        <w:t>预期目标，也达到了年度预算的整体目标。</w:t>
      </w:r>
    </w:p>
    <w:p w:rsidR="008024BD" w:rsidRPr="00C55684" w:rsidRDefault="00C55684">
      <w:pPr>
        <w:widowControl/>
        <w:numPr>
          <w:ilvl w:val="0"/>
          <w:numId w:val="7"/>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存在问题</w:t>
      </w:r>
    </w:p>
    <w:p w:rsidR="008024BD" w:rsidRPr="00C55684" w:rsidRDefault="00C55684">
      <w:pPr>
        <w:spacing w:line="560" w:lineRule="exact"/>
        <w:ind w:firstLineChars="200" w:firstLine="420"/>
        <w:rPr>
          <w:rFonts w:ascii="仿宋_GB2312" w:eastAsia="仿宋_GB2312" w:hAnsi="仿宋_GB2312" w:cs="仿宋_GB2312"/>
          <w:color w:val="000000"/>
          <w:kern w:val="0"/>
          <w:sz w:val="32"/>
          <w:szCs w:val="32"/>
          <w:lang w:val="zh-CN"/>
        </w:rPr>
      </w:pPr>
      <w:r>
        <w:rPr>
          <w:rFonts w:hint="eastAsia"/>
        </w:rPr>
        <w:t xml:space="preserve">  </w:t>
      </w:r>
      <w:r w:rsidRPr="00C55684">
        <w:rPr>
          <w:rFonts w:ascii="仿宋_GB2312" w:eastAsia="仿宋_GB2312" w:hAnsi="仿宋_GB2312" w:cs="仿宋_GB2312" w:hint="eastAsia"/>
          <w:color w:val="000000"/>
          <w:kern w:val="0"/>
          <w:sz w:val="32"/>
          <w:szCs w:val="32"/>
          <w:lang w:val="zh-CN"/>
        </w:rPr>
        <w:t xml:space="preserve"> 一是年初绩效目标设定与年度计划安排未完全对应，造成目标完成质量不高.二是相关职能部门没有正确认识预算绩效管理的机制,执行力度有待加强。</w:t>
      </w:r>
    </w:p>
    <w:p w:rsidR="008024BD" w:rsidRPr="00C55684" w:rsidRDefault="00C55684">
      <w:pPr>
        <w:widowControl/>
        <w:numPr>
          <w:ilvl w:val="0"/>
          <w:numId w:val="7"/>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lang w:val="zh-CN"/>
        </w:rPr>
      </w:pPr>
      <w:r w:rsidRPr="00C55684">
        <w:rPr>
          <w:rFonts w:ascii="楷体_GB2312" w:eastAsia="楷体_GB2312" w:hAnsi="楷体_GB2312" w:cs="楷体_GB2312" w:hint="eastAsia"/>
          <w:b/>
          <w:bCs/>
          <w:kern w:val="0"/>
          <w:sz w:val="32"/>
          <w:szCs w:val="32"/>
          <w:lang w:val="zh-CN"/>
        </w:rPr>
        <w:t>改进建议</w:t>
      </w:r>
    </w:p>
    <w:p w:rsidR="008024BD" w:rsidRDefault="00C55684" w:rsidP="00BB5F01">
      <w:pPr>
        <w:pStyle w:val="a0"/>
        <w:spacing w:before="93" w:line="560" w:lineRule="exact"/>
        <w:ind w:firstLineChars="200" w:firstLine="640"/>
      </w:pPr>
      <w:r>
        <w:rPr>
          <w:rFonts w:hAnsi="仿宋_GB2312" w:cs="仿宋_GB2312" w:hint="eastAsia"/>
          <w:color w:val="000000"/>
          <w:sz w:val="32"/>
          <w:szCs w:val="32"/>
          <w:lang w:val="zh-CN"/>
        </w:rPr>
        <w:t>一是科学设定目标及指标</w:t>
      </w:r>
      <w:r>
        <w:rPr>
          <w:rFonts w:hAnsi="仿宋_GB2312" w:cs="仿宋_GB2312" w:hint="eastAsia"/>
          <w:color w:val="000000"/>
          <w:sz w:val="32"/>
          <w:szCs w:val="32"/>
        </w:rPr>
        <w:t>,强化事前准备工作,完善指标体系建设</w:t>
      </w:r>
      <w:r>
        <w:rPr>
          <w:rFonts w:hAnsi="仿宋_GB2312" w:cs="仿宋_GB2312" w:hint="eastAsia"/>
          <w:color w:val="000000"/>
          <w:sz w:val="32"/>
          <w:szCs w:val="32"/>
          <w:lang w:val="zh-CN"/>
        </w:rPr>
        <w:t>，二是对医院内部管理的制度、方法加强创新，提升管理能力。三是完善支付手续，保证资金及时支付，提高资金执行率。</w:t>
      </w:r>
    </w:p>
    <w:p w:rsidR="008024BD" w:rsidRDefault="00C55684">
      <w:pPr>
        <w:pStyle w:val="20"/>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部门预算项目支出绩效自评表（2022年度）见附件</w:t>
      </w:r>
    </w:p>
    <w:p w:rsidR="008024BD" w:rsidRDefault="008024BD">
      <w:pPr>
        <w:pStyle w:val="20"/>
        <w:spacing w:line="560" w:lineRule="exact"/>
        <w:ind w:leftChars="0" w:left="0" w:firstLineChars="0" w:firstLine="0"/>
        <w:rPr>
          <w:sz w:val="32"/>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8024BD" w:rsidRDefault="008024BD">
      <w:pPr>
        <w:pStyle w:val="a0"/>
        <w:spacing w:before="93" w:line="560" w:lineRule="exact"/>
        <w:rPr>
          <w:rFonts w:hAnsi="宋体" w:cs="宋体"/>
          <w:sz w:val="32"/>
          <w:szCs w:val="32"/>
          <w:shd w:val="clear" w:color="auto" w:fill="FFFFFF"/>
          <w:lang w:val="zh-CN"/>
        </w:rPr>
      </w:pPr>
    </w:p>
    <w:p w:rsidR="00C55684" w:rsidRDefault="00C55684">
      <w:pPr>
        <w:pStyle w:val="a0"/>
        <w:spacing w:before="93" w:line="560" w:lineRule="exact"/>
        <w:rPr>
          <w:rFonts w:hAnsi="宋体" w:cs="宋体"/>
          <w:sz w:val="32"/>
          <w:szCs w:val="32"/>
          <w:shd w:val="clear" w:color="auto" w:fill="FFFFFF"/>
          <w:lang w:val="zh-CN"/>
        </w:rPr>
      </w:pPr>
    </w:p>
    <w:p w:rsidR="008024BD" w:rsidRPr="00C55684" w:rsidRDefault="00C55684">
      <w:pPr>
        <w:pStyle w:val="a0"/>
        <w:spacing w:before="93" w:line="560" w:lineRule="exact"/>
        <w:rPr>
          <w:sz w:val="32"/>
          <w:szCs w:val="32"/>
        </w:rPr>
      </w:pPr>
      <w:r w:rsidRPr="00C55684">
        <w:rPr>
          <w:rFonts w:hAnsi="宋体" w:cs="宋体" w:hint="eastAsia"/>
          <w:sz w:val="32"/>
          <w:szCs w:val="32"/>
          <w:lang w:val="zh-CN"/>
        </w:rPr>
        <w:lastRenderedPageBreak/>
        <w:t>附件</w:t>
      </w:r>
      <w:r w:rsidRPr="00C55684">
        <w:rPr>
          <w:rFonts w:hAnsi="宋体" w:cs="宋体" w:hint="eastAsia"/>
          <w:sz w:val="32"/>
          <w:szCs w:val="32"/>
        </w:rPr>
        <w:t>2</w:t>
      </w:r>
    </w:p>
    <w:p w:rsidR="008024BD" w:rsidRDefault="00C55684">
      <w:pPr>
        <w:pStyle w:val="ae"/>
        <w:spacing w:line="560" w:lineRule="exact"/>
        <w:jc w:val="center"/>
        <w:rPr>
          <w:rFonts w:ascii="方正小标宋简体" w:eastAsia="方正小标宋简体" w:hAnsi="方正小标宋简体" w:cs="方正小标宋简体"/>
          <w:color w:val="auto"/>
          <w:kern w:val="2"/>
          <w:sz w:val="32"/>
          <w:szCs w:val="32"/>
          <w:lang w:val="en-US"/>
        </w:rPr>
      </w:pPr>
      <w:bookmarkStart w:id="128" w:name="_Toc19265_WPSOffice_Level2"/>
      <w:r>
        <w:rPr>
          <w:rFonts w:ascii="方正小标宋简体" w:eastAsia="方正小标宋简体" w:hAnsi="方正小标宋简体" w:cs="方正小标宋简体" w:hint="eastAsia"/>
          <w:color w:val="auto"/>
          <w:kern w:val="2"/>
          <w:sz w:val="32"/>
          <w:szCs w:val="32"/>
          <w:lang w:val="en-US"/>
        </w:rPr>
        <w:t>2022年市级专项资金预算项目绩效自评报告</w:t>
      </w:r>
      <w:bookmarkEnd w:id="128"/>
    </w:p>
    <w:p w:rsidR="008024BD" w:rsidRDefault="00C55684">
      <w:pPr>
        <w:spacing w:line="560" w:lineRule="exact"/>
        <w:ind w:firstLine="883"/>
        <w:jc w:val="center"/>
        <w:rPr>
          <w:rFonts w:ascii="宋体" w:hAnsi="宋体"/>
          <w:sz w:val="32"/>
          <w:szCs w:val="32"/>
        </w:rPr>
      </w:pPr>
      <w:r>
        <w:rPr>
          <w:rFonts w:ascii="仿宋_GB2312" w:eastAsia="仿宋_GB2312" w:hAnsi="宋体" w:hint="eastAsia"/>
          <w:sz w:val="32"/>
          <w:szCs w:val="32"/>
          <w:lang w:val="zh-CN"/>
        </w:rPr>
        <w:t>（取消药品加成）</w:t>
      </w:r>
    </w:p>
    <w:p w:rsidR="008024BD" w:rsidRDefault="00C55684">
      <w:pPr>
        <w:adjustRightInd w:val="0"/>
        <w:snapToGrid w:val="0"/>
        <w:spacing w:line="560" w:lineRule="exact"/>
        <w:ind w:firstLine="720"/>
        <w:rPr>
          <w:rFonts w:ascii="黑体" w:eastAsia="黑体" w:hAnsi="宋体"/>
          <w:sz w:val="32"/>
          <w:szCs w:val="32"/>
          <w:lang w:val="zh-CN"/>
        </w:rPr>
      </w:pPr>
      <w:bookmarkStart w:id="129" w:name="_Toc26706_WPSOffice_Level2"/>
      <w:r>
        <w:rPr>
          <w:rFonts w:ascii="黑体" w:eastAsia="黑体" w:hAnsi="宋体" w:hint="eastAsia"/>
          <w:sz w:val="32"/>
          <w:szCs w:val="32"/>
        </w:rPr>
        <w:t>一、</w:t>
      </w:r>
      <w:r>
        <w:rPr>
          <w:rFonts w:ascii="黑体" w:eastAsia="黑体" w:hAnsi="宋体" w:hint="eastAsia"/>
          <w:sz w:val="32"/>
          <w:szCs w:val="32"/>
          <w:lang w:val="zh-CN"/>
        </w:rPr>
        <w:t>项目概况</w:t>
      </w:r>
      <w:bookmarkEnd w:id="129"/>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8024BD" w:rsidRPr="00C55684" w:rsidRDefault="00C55684">
      <w:pPr>
        <w:adjustRightInd w:val="0"/>
        <w:snapToGrid w:val="0"/>
        <w:spacing w:line="560" w:lineRule="exact"/>
        <w:ind w:firstLine="720"/>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城市公立医院综合改革是医药卫生体制改革的重要组成部分，取消药品加成是医药价格改革的主要内容，攀枝花市成为城市公立医院综合改革第三批国家联系试点城市。为贯彻落实国务院办公厅《关于城市公立医院综合改革试点的指导意见》（国办发[2015]38 号）精神，根据《攀枝花市人民政府关于印发攀枝花市城市公立医院综合改革试点工作实施方案的通知》（攀府发[2015]21 号）要求，我院从2015 年10 月1 日起，实施了除中药饮片外的所有药品均实行零加成销售，除医院合理收入大幅削减15%以外，医院药事部门从盈利部门转变为成本部门，加上药品的仓储、房屋、设备设施这些成本，一年将近1000余万元，全部由医院承担，医院成本支出较大，对医院的发展会产生一定的影响。</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8024BD" w:rsidRPr="00C55684" w:rsidRDefault="00C55684">
      <w:pPr>
        <w:widowControl/>
        <w:spacing w:line="560" w:lineRule="exact"/>
        <w:ind w:firstLineChars="200" w:firstLine="640"/>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1．项目主要内容</w:t>
      </w:r>
    </w:p>
    <w:p w:rsidR="008024BD" w:rsidRPr="00C55684" w:rsidRDefault="00C55684">
      <w:pPr>
        <w:widowControl/>
        <w:spacing w:line="560" w:lineRule="exact"/>
        <w:ind w:firstLineChars="200" w:firstLine="640"/>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2021年医院全年药品收入为2.44亿元，按照药品加成按15%计算，医院净损失3660万元。根据攀枝花发改委、卫健委、医保局联合下发的《关于城市公立医院取消药品加成调整部分医疗服务价格补偿的通知》，执行攀枝花市的8:1:1</w:t>
      </w:r>
      <w:r w:rsidRPr="00C55684">
        <w:rPr>
          <w:rFonts w:ascii="仿宋_GB2312" w:eastAsia="仿宋_GB2312" w:hAnsi="仿宋_GB2312" w:cs="仿宋_GB2312" w:hint="eastAsia"/>
          <w:kern w:val="0"/>
          <w:sz w:val="32"/>
          <w:szCs w:val="32"/>
          <w:lang w:val="zh-CN"/>
        </w:rPr>
        <w:lastRenderedPageBreak/>
        <w:t>政策,即80%通过提高部分诊疗项目进行补偿，10%地方财政补贴，10%由医院自行承担。2022年按照10%财政补贴，拟申请资金预算325.9</w:t>
      </w:r>
      <w:r w:rsidRPr="00C55684">
        <w:rPr>
          <w:rFonts w:ascii="仿宋_GB2312" w:eastAsia="仿宋_GB2312" w:hAnsi="仿宋_GB2312" w:cs="仿宋_GB2312" w:hint="eastAsia"/>
          <w:kern w:val="0"/>
          <w:sz w:val="32"/>
          <w:szCs w:val="32"/>
        </w:rPr>
        <w:t>0</w:t>
      </w:r>
      <w:r w:rsidRPr="00C55684">
        <w:rPr>
          <w:rFonts w:ascii="仿宋_GB2312" w:eastAsia="仿宋_GB2312" w:hAnsi="仿宋_GB2312" w:cs="仿宋_GB2312" w:hint="eastAsia"/>
          <w:kern w:val="0"/>
          <w:sz w:val="32"/>
          <w:szCs w:val="32"/>
          <w:lang w:val="zh-CN"/>
        </w:rPr>
        <w:t xml:space="preserve"> 万元。</w:t>
      </w:r>
    </w:p>
    <w:p w:rsidR="001516EF" w:rsidRPr="001516EF" w:rsidRDefault="001516EF" w:rsidP="001516EF">
      <w:pPr>
        <w:snapToGrid w:val="0"/>
        <w:spacing w:line="560" w:lineRule="exact"/>
        <w:ind w:firstLineChars="200" w:firstLine="640"/>
        <w:rPr>
          <w:rFonts w:ascii="仿宋_GB2312" w:eastAsia="仿宋_GB2312" w:hAnsi="仿宋_GB2312" w:cs="仿宋_GB2312"/>
          <w:kern w:val="0"/>
          <w:sz w:val="32"/>
          <w:szCs w:val="32"/>
          <w:lang w:val="zh-CN"/>
        </w:rPr>
      </w:pPr>
      <w:r w:rsidRPr="001516EF">
        <w:rPr>
          <w:rFonts w:ascii="仿宋_GB2312" w:eastAsia="仿宋_GB2312" w:hAnsi="仿宋_GB2312" w:cs="仿宋_GB2312" w:hint="eastAsia"/>
          <w:kern w:val="0"/>
          <w:sz w:val="32"/>
          <w:szCs w:val="32"/>
          <w:lang w:val="zh-CN"/>
        </w:rPr>
        <w:t>2．破除以药补医机制</w:t>
      </w:r>
    </w:p>
    <w:p w:rsidR="001516EF" w:rsidRDefault="001516EF" w:rsidP="001516EF">
      <w:pPr>
        <w:snapToGrid w:val="0"/>
        <w:spacing w:line="560" w:lineRule="exact"/>
        <w:ind w:firstLineChars="200" w:firstLine="640"/>
        <w:rPr>
          <w:rFonts w:ascii="仿宋_GB2312" w:eastAsia="仿宋_GB2312" w:hAnsi="仿宋_GB2312" w:cs="仿宋_GB2312"/>
          <w:kern w:val="0"/>
          <w:sz w:val="32"/>
          <w:szCs w:val="32"/>
          <w:lang w:val="zh-CN"/>
        </w:rPr>
      </w:pPr>
      <w:r w:rsidRPr="001516EF">
        <w:rPr>
          <w:rFonts w:ascii="仿宋_GB2312" w:eastAsia="仿宋_GB2312" w:hAnsi="仿宋_GB2312" w:cs="仿宋_GB2312" w:hint="eastAsia"/>
          <w:kern w:val="0"/>
          <w:sz w:val="32"/>
          <w:szCs w:val="32"/>
          <w:lang w:val="zh-CN"/>
        </w:rPr>
        <w:t>试点城市所有公立医院推进医药分开，积极探索多种有效方式改革以药补医机制，取消药品加成（中药饮片除外）。将公立医院补偿由服务收费、药品加成收入和政府补助三个渠道改为服务收费和政府补助两个渠道。通过调整医疗服务价格、加大政府投入、改革支付方式、降低医院运行成本等，建立科学合理的补偿机制。对医院的药品贮藏、保管、损耗等费用列入医院运行成本予以补偿。采取综合措施切断医院和医务人员与药品间的利益链，完善医药费用管控制度，严格控制医药费用不合理增长。按照总量控制、结构调整的办法，改变公立医院收入结构，提高业务收入中技术劳务性收入的比重，降低药品和卫生材料收入的比重，确保公立医院良性运行和发展。力争试点城市公立医院药占比（不含中药饮片）总体降到30%以下；百元医疗收入（不含药品收入）中消耗的卫生材料降到20元以下。</w:t>
      </w:r>
    </w:p>
    <w:p w:rsidR="008024BD" w:rsidRPr="00C55684" w:rsidRDefault="00C55684" w:rsidP="001516EF">
      <w:pPr>
        <w:snapToGrid w:val="0"/>
        <w:spacing w:line="560" w:lineRule="exact"/>
        <w:ind w:firstLineChars="200" w:firstLine="640"/>
        <w:rPr>
          <w:rFonts w:eastAsia="仿宋_GB2312"/>
        </w:rPr>
      </w:pPr>
      <w:r w:rsidRPr="00C55684">
        <w:rPr>
          <w:rFonts w:ascii="仿宋_GB2312" w:eastAsia="仿宋_GB2312" w:hAnsi="仿宋_GB2312" w:cs="仿宋_GB2312" w:hint="eastAsia"/>
          <w:kern w:val="0"/>
          <w:sz w:val="32"/>
          <w:szCs w:val="32"/>
          <w:lang w:val="zh-CN"/>
        </w:rPr>
        <w:t>3．</w:t>
      </w:r>
      <w:r w:rsidRPr="00C55684">
        <w:rPr>
          <w:rFonts w:ascii="仿宋_GB2312" w:eastAsia="仿宋_GB2312" w:hAnsi="仿宋_GB2312" w:cs="仿宋_GB2312" w:hint="eastAsia"/>
          <w:sz w:val="32"/>
          <w:szCs w:val="32"/>
          <w:lang w:bidi="ar"/>
        </w:rPr>
        <w:t>药品取消加成后，依托于财政补贴的资金，医院加强处方点评、全院合理用药监测分析、引进临床药学软件、全院病历点评大会等多种手段规范药事管理，药品比例逐年降低，减少药品支出，切实降低药品价格，提升患者满意度。</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8024BD" w:rsidRPr="00C55684" w:rsidRDefault="00C55684">
      <w:pPr>
        <w:widowControl/>
        <w:adjustRightInd w:val="0"/>
        <w:snapToGrid w:val="0"/>
        <w:spacing w:line="560" w:lineRule="exact"/>
        <w:ind w:firstLineChars="200" w:firstLine="640"/>
        <w:contextualSpacing/>
        <w:jc w:val="left"/>
        <w:rPr>
          <w:lang w:val="zh-CN"/>
        </w:rPr>
      </w:pPr>
      <w:r w:rsidRPr="00C55684">
        <w:rPr>
          <w:rFonts w:ascii="仿宋_GB2312" w:eastAsia="仿宋_GB2312" w:hAnsi="宋体" w:cs="宋体" w:hint="eastAsia"/>
          <w:kern w:val="0"/>
          <w:sz w:val="32"/>
          <w:szCs w:val="32"/>
        </w:rPr>
        <w:lastRenderedPageBreak/>
        <w:t>成立自评工作小组，由项目具体负责人对项目实施内容进行自评，对项目具体实施情况与项目预算绩效进行对比，对数量指标、质量指标、成本指标、时效指标、效益指标及满意度指标等进行核实，形成自评报告。单位自评工作组再逐一对项目的实施情况与自评报告和预算绩效指标进行核对，集体讨论后形成单位自评报告。</w:t>
      </w:r>
    </w:p>
    <w:p w:rsidR="008024BD" w:rsidRDefault="00C55684">
      <w:pPr>
        <w:adjustRightInd w:val="0"/>
        <w:snapToGrid w:val="0"/>
        <w:spacing w:line="560" w:lineRule="exact"/>
        <w:ind w:firstLine="720"/>
        <w:rPr>
          <w:rFonts w:ascii="黑体" w:eastAsia="黑体" w:hAnsi="宋体"/>
          <w:sz w:val="32"/>
          <w:szCs w:val="32"/>
        </w:rPr>
      </w:pPr>
      <w:bookmarkStart w:id="130" w:name="_Toc28393_WPSOffice_Level2"/>
      <w:r>
        <w:rPr>
          <w:rFonts w:ascii="黑体" w:eastAsia="黑体" w:hAnsi="宋体" w:hint="eastAsia"/>
          <w:sz w:val="32"/>
          <w:szCs w:val="32"/>
        </w:rPr>
        <w:t>二、项目资金申报及使用情况</w:t>
      </w:r>
      <w:bookmarkEnd w:id="130"/>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宋体" w:cs="宋体"/>
          <w:kern w:val="0"/>
          <w:sz w:val="32"/>
          <w:szCs w:val="32"/>
        </w:rPr>
      </w:pPr>
      <w:r w:rsidRPr="00C55684">
        <w:rPr>
          <w:rFonts w:ascii="仿宋_GB2312" w:eastAsia="仿宋_GB2312" w:hAnsi="宋体" w:cs="宋体" w:hint="eastAsia"/>
          <w:kern w:val="0"/>
          <w:sz w:val="32"/>
          <w:szCs w:val="32"/>
          <w:lang w:val="zh-CN"/>
        </w:rPr>
        <w:t>2021年医院全年药品收入为2.44亿元，按照药品加成按15%计算，医院净损失3660万元。根据攀枝花发改委、卫健委、医保局联合下发的《关于城市公立医院取消药品加成调整部分医疗服务价格补偿的通知》，执行攀枝花市的8:1:1政策,即80%通过提高部分诊疗项目进行补偿，10%地方财政补贴，10%由医院自行承担。根据2019 年预算安排19.87   万元，实际执行219.87万元；2020年预算安排219.87万元，实际执行219.87万元；2021年年预算安排170万元，实际执行170万元；2022年按照10%财政补贴，拟申请资金预算  325.9</w:t>
      </w:r>
      <w:r w:rsidRPr="00C55684">
        <w:rPr>
          <w:rFonts w:ascii="仿宋_GB2312" w:eastAsia="仿宋_GB2312" w:hAnsi="宋体" w:cs="宋体" w:hint="eastAsia"/>
          <w:kern w:val="0"/>
          <w:sz w:val="32"/>
          <w:szCs w:val="32"/>
        </w:rPr>
        <w:t>0</w:t>
      </w:r>
      <w:r w:rsidRPr="00C55684">
        <w:rPr>
          <w:rFonts w:ascii="仿宋_GB2312" w:eastAsia="仿宋_GB2312" w:hAnsi="宋体" w:cs="宋体" w:hint="eastAsia"/>
          <w:kern w:val="0"/>
          <w:sz w:val="32"/>
          <w:szCs w:val="32"/>
          <w:lang w:val="zh-CN"/>
        </w:rPr>
        <w:t>万元，实际批复</w:t>
      </w:r>
      <w:r w:rsidRPr="00C55684">
        <w:rPr>
          <w:rFonts w:ascii="仿宋_GB2312" w:eastAsia="仿宋_GB2312" w:hAnsi="宋体" w:cs="宋体" w:hint="eastAsia"/>
          <w:kern w:val="0"/>
          <w:sz w:val="32"/>
          <w:szCs w:val="32"/>
        </w:rPr>
        <w:t>325.00万元。</w:t>
      </w:r>
    </w:p>
    <w:p w:rsidR="008024BD" w:rsidRDefault="00C55684">
      <w:pPr>
        <w:adjustRightInd w:val="0"/>
        <w:snapToGrid w:val="0"/>
        <w:spacing w:line="560"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1．资金计划</w:t>
      </w:r>
    </w:p>
    <w:p w:rsidR="008024BD" w:rsidRPr="00C55684" w:rsidRDefault="00C55684">
      <w:pPr>
        <w:spacing w:line="560" w:lineRule="exact"/>
        <w:ind w:firstLineChars="200" w:firstLine="640"/>
        <w:rPr>
          <w:lang w:val="zh-CN"/>
        </w:rPr>
      </w:pPr>
      <w:r w:rsidRPr="00C55684">
        <w:rPr>
          <w:rFonts w:ascii="仿宋_GB2312" w:eastAsia="仿宋_GB2312" w:hAnsi="仿宋_GB2312" w:cs="仿宋_GB2312" w:hint="eastAsia"/>
          <w:sz w:val="32"/>
          <w:szCs w:val="32"/>
        </w:rPr>
        <w:t>补助资金作为政府补助收入用于医院药品成本补偿，计划用于药品采购的货款支付。</w:t>
      </w:r>
    </w:p>
    <w:p w:rsidR="008024BD" w:rsidRPr="00C55684" w:rsidRDefault="00C55684">
      <w:pPr>
        <w:widowControl/>
        <w:numPr>
          <w:ilvl w:val="0"/>
          <w:numId w:val="8"/>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资金到位</w:t>
      </w:r>
    </w:p>
    <w:p w:rsidR="008024BD" w:rsidRPr="00C55684" w:rsidRDefault="00C55684">
      <w:pPr>
        <w:spacing w:line="560" w:lineRule="exact"/>
        <w:ind w:firstLineChars="200" w:firstLine="640"/>
        <w:rPr>
          <w:lang w:val="zh-CN"/>
        </w:rPr>
      </w:pPr>
      <w:r w:rsidRPr="00C55684">
        <w:rPr>
          <w:rFonts w:ascii="仿宋_GB2312" w:eastAsia="仿宋_GB2312" w:hAnsi="仿宋_GB2312" w:cs="仿宋_GB2312" w:hint="eastAsia"/>
          <w:sz w:val="32"/>
          <w:szCs w:val="32"/>
        </w:rPr>
        <w:t>该项资金于2022年12月由市财政局随当年预算下全部</w:t>
      </w:r>
      <w:r w:rsidRPr="00C55684">
        <w:rPr>
          <w:rFonts w:ascii="仿宋_GB2312" w:eastAsia="仿宋_GB2312" w:hAnsi="仿宋_GB2312" w:cs="仿宋_GB2312" w:hint="eastAsia"/>
          <w:sz w:val="32"/>
          <w:szCs w:val="32"/>
        </w:rPr>
        <w:lastRenderedPageBreak/>
        <w:t>下达到我院，共325.00万元。</w:t>
      </w:r>
    </w:p>
    <w:p w:rsidR="008024BD" w:rsidRPr="00C55684" w:rsidRDefault="00C55684">
      <w:pPr>
        <w:widowControl/>
        <w:numPr>
          <w:ilvl w:val="0"/>
          <w:numId w:val="8"/>
        </w:numPr>
        <w:adjustRightInd w:val="0"/>
        <w:snapToGrid w:val="0"/>
        <w:spacing w:line="560" w:lineRule="exact"/>
        <w:ind w:firstLineChars="200" w:firstLine="640"/>
        <w:contextualSpacing/>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资金使用</w:t>
      </w:r>
    </w:p>
    <w:p w:rsidR="008024BD" w:rsidRPr="00C55684" w:rsidRDefault="00C55684">
      <w:pPr>
        <w:spacing w:line="560" w:lineRule="exact"/>
        <w:ind w:firstLineChars="200" w:firstLine="420"/>
        <w:rPr>
          <w:rFonts w:eastAsia="仿宋_GB2312"/>
        </w:rPr>
      </w:pPr>
      <w:r w:rsidRPr="00C55684">
        <w:rPr>
          <w:rFonts w:hint="eastAsia"/>
        </w:rPr>
        <w:t xml:space="preserve">  </w:t>
      </w:r>
      <w:r w:rsidRPr="00C55684">
        <w:rPr>
          <w:rFonts w:ascii="仿宋_GB2312" w:eastAsia="仿宋_GB2312" w:hAnsi="仿宋_GB2312" w:cs="仿宋_GB2312" w:hint="eastAsia"/>
          <w:sz w:val="32"/>
          <w:szCs w:val="32"/>
        </w:rPr>
        <w:t>于2022年向药品供应商支付药品款325.00万元，执行率100.00%。资金使用安全性、规范性、有效性复核相关规定；资金支付范围、标准、进度、依据合规合法，与预算相符。</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我院财务制度健全，严格执行财务管理制度，账务处理及时、规范，会计核算规范；对专项资金专人专账管理，严格按批复范围和用途使用。</w:t>
      </w:r>
    </w:p>
    <w:p w:rsidR="008024BD" w:rsidRDefault="00C55684">
      <w:pPr>
        <w:adjustRightInd w:val="0"/>
        <w:snapToGrid w:val="0"/>
        <w:spacing w:line="560" w:lineRule="exact"/>
        <w:ind w:firstLineChars="200" w:firstLine="640"/>
        <w:rPr>
          <w:rFonts w:ascii="黑体" w:eastAsia="黑体" w:hAnsi="宋体"/>
          <w:sz w:val="32"/>
          <w:szCs w:val="32"/>
        </w:rPr>
      </w:pPr>
      <w:bookmarkStart w:id="131" w:name="_Toc20403_WPSOffice_Level2"/>
      <w:r>
        <w:rPr>
          <w:rFonts w:ascii="黑体" w:eastAsia="黑体" w:hAnsi="宋体" w:hint="eastAsia"/>
          <w:sz w:val="32"/>
          <w:szCs w:val="32"/>
        </w:rPr>
        <w:t>三、项目实施及管理情况</w:t>
      </w:r>
      <w:bookmarkEnd w:id="131"/>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lang w:val="zh-CN"/>
        </w:rPr>
      </w:pPr>
      <w:r w:rsidRPr="00C55684">
        <w:rPr>
          <w:rFonts w:ascii="仿宋_GB2312" w:eastAsia="仿宋_GB2312" w:hAnsi="仿宋_GB2312" w:cs="仿宋_GB2312" w:hint="eastAsia"/>
          <w:kern w:val="0"/>
          <w:sz w:val="32"/>
          <w:szCs w:val="32"/>
          <w:lang w:val="zh-CN"/>
        </w:rPr>
        <w:t>结合项目组织实施管理办法，重点围绕以下内容进行分析评价，并对自评中发现的问题分析说明。</w:t>
      </w:r>
    </w:p>
    <w:p w:rsidR="008024BD" w:rsidRDefault="00C55684">
      <w:pPr>
        <w:numPr>
          <w:ilvl w:val="0"/>
          <w:numId w:val="9"/>
        </w:numPr>
        <w:adjustRightInd w:val="0"/>
        <w:snapToGrid w:val="0"/>
        <w:spacing w:line="560" w:lineRule="exact"/>
        <w:ind w:firstLine="720"/>
        <w:rPr>
          <w:lang w:val="zh-CN"/>
        </w:rPr>
      </w:pPr>
      <w:r>
        <w:rPr>
          <w:rFonts w:ascii="楷体_GB2312" w:eastAsia="楷体_GB2312" w:hAnsi="宋体" w:hint="eastAsia"/>
          <w:b/>
          <w:sz w:val="32"/>
          <w:szCs w:val="32"/>
          <w:lang w:val="zh-CN"/>
        </w:rPr>
        <w:t>项目组织架构及实施流程</w:t>
      </w:r>
    </w:p>
    <w:p w:rsidR="008024BD" w:rsidRDefault="00C55684" w:rsidP="00BB5F01">
      <w:pPr>
        <w:pStyle w:val="a0"/>
        <w:spacing w:before="93" w:line="560" w:lineRule="exact"/>
        <w:rPr>
          <w:rFonts w:eastAsia="楷体_GB2312"/>
        </w:rPr>
      </w:pPr>
      <w:r>
        <w:rPr>
          <w:rFonts w:ascii="楷体_GB2312" w:eastAsia="楷体_GB2312" w:hAnsi="宋体" w:hint="eastAsia"/>
          <w:b/>
          <w:sz w:val="32"/>
          <w:szCs w:val="32"/>
        </w:rPr>
        <w:t xml:space="preserve">   </w:t>
      </w:r>
      <w:r w:rsidRPr="00C55684">
        <w:rPr>
          <w:rFonts w:ascii="楷体_GB2312" w:eastAsia="楷体_GB2312" w:hAnsi="宋体" w:hint="eastAsia"/>
          <w:b/>
          <w:sz w:val="32"/>
          <w:szCs w:val="32"/>
        </w:rPr>
        <w:t xml:space="preserve"> </w:t>
      </w:r>
      <w:r w:rsidRPr="00C55684">
        <w:rPr>
          <w:rFonts w:hAnsi="仿宋_GB2312" w:cs="仿宋_GB2312" w:hint="eastAsia"/>
          <w:sz w:val="32"/>
          <w:szCs w:val="32"/>
        </w:rPr>
        <w:t>该项资金主管部门为我院运管部和财务科，运管部主要负责资金的计划制定和审批，财务科负责款项的支付和账务处理；项目的具体实施由药事管理部门负责。</w:t>
      </w:r>
    </w:p>
    <w:p w:rsidR="008024BD" w:rsidRDefault="00C55684">
      <w:pPr>
        <w:numPr>
          <w:ilvl w:val="0"/>
          <w:numId w:val="9"/>
        </w:numPr>
        <w:adjustRightInd w:val="0"/>
        <w:snapToGrid w:val="0"/>
        <w:spacing w:line="560"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项目管理情况</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医院制定有相应的药品购置申请，论证，审批制度。项目由临床提出购置申请，药事管理部收集汇总材料，药事管理委员会论证投票，院办公会、党委会审批通过，药事管理部组织实施采购.</w:t>
      </w:r>
    </w:p>
    <w:p w:rsidR="008024BD" w:rsidRPr="00C55684" w:rsidRDefault="00C55684">
      <w:pPr>
        <w:spacing w:line="560" w:lineRule="exact"/>
        <w:ind w:firstLineChars="200" w:firstLine="640"/>
        <w:rPr>
          <w:lang w:val="zh-CN"/>
        </w:rPr>
      </w:pPr>
      <w:r w:rsidRPr="00C55684">
        <w:rPr>
          <w:rFonts w:ascii="仿宋_GB2312" w:eastAsia="仿宋_GB2312" w:hAnsi="仿宋_GB2312" w:cs="仿宋_GB2312" w:hint="eastAsia"/>
          <w:sz w:val="32"/>
          <w:szCs w:val="32"/>
        </w:rPr>
        <w:t>全面落实《国务院办公厅关于完善公立医院药品集中采购工作的指导意见》（国办发〔2015〕7号），药品在省级药</w:t>
      </w:r>
      <w:r w:rsidRPr="00C55684">
        <w:rPr>
          <w:rFonts w:ascii="仿宋_GB2312" w:eastAsia="仿宋_GB2312" w:hAnsi="仿宋_GB2312" w:cs="仿宋_GB2312" w:hint="eastAsia"/>
          <w:sz w:val="32"/>
          <w:szCs w:val="32"/>
        </w:rPr>
        <w:lastRenderedPageBreak/>
        <w:t>品集中采购平台上集中采购，保证药品质量安全。纪检、审计部门全程参与。</w:t>
      </w:r>
    </w:p>
    <w:p w:rsidR="008024BD" w:rsidRDefault="00C55684">
      <w:pPr>
        <w:numPr>
          <w:ilvl w:val="0"/>
          <w:numId w:val="9"/>
        </w:numPr>
        <w:adjustRightInd w:val="0"/>
        <w:snapToGrid w:val="0"/>
        <w:spacing w:line="560"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项目监管情况</w:t>
      </w:r>
    </w:p>
    <w:p w:rsidR="008024BD" w:rsidRPr="00C55684" w:rsidRDefault="00C55684">
      <w:pPr>
        <w:spacing w:line="560" w:lineRule="exact"/>
        <w:ind w:firstLineChars="200" w:firstLine="640"/>
        <w:rPr>
          <w:lang w:val="zh-CN"/>
        </w:rPr>
      </w:pPr>
      <w:r w:rsidRPr="00C55684">
        <w:rPr>
          <w:rFonts w:ascii="仿宋_GB2312" w:eastAsia="仿宋_GB2312" w:hAnsi="仿宋_GB2312" w:cs="仿宋_GB2312" w:hint="eastAsia"/>
          <w:sz w:val="32"/>
          <w:szCs w:val="32"/>
        </w:rPr>
        <w:t>医院纪检科、审计科，对该项目进行全程监督管控，制定审批制度和采购制度，严格按照流程进行采购，确保药品质量安全。</w:t>
      </w:r>
    </w:p>
    <w:p w:rsidR="008024BD" w:rsidRDefault="00C55684">
      <w:pPr>
        <w:adjustRightInd w:val="0"/>
        <w:snapToGrid w:val="0"/>
        <w:spacing w:line="560" w:lineRule="exact"/>
        <w:ind w:firstLine="720"/>
        <w:rPr>
          <w:rFonts w:ascii="仿宋_GB2312" w:hAnsi="宋体"/>
          <w:sz w:val="32"/>
          <w:szCs w:val="32"/>
          <w:lang w:val="zh-CN"/>
        </w:rPr>
      </w:pPr>
      <w:bookmarkStart w:id="132" w:name="_Toc26071_WPSOffice_Level2"/>
      <w:r>
        <w:rPr>
          <w:rFonts w:ascii="黑体" w:eastAsia="黑体" w:hAnsi="宋体" w:hint="eastAsia"/>
          <w:sz w:val="32"/>
          <w:szCs w:val="32"/>
        </w:rPr>
        <w:t>四、项目绩效情况</w:t>
      </w:r>
      <w:bookmarkEnd w:id="132"/>
      <w:r>
        <w:rPr>
          <w:rFonts w:ascii="仿宋_GB2312" w:hAnsi="宋体" w:hint="eastAsia"/>
          <w:sz w:val="32"/>
          <w:szCs w:val="32"/>
          <w:lang w:val="zh-CN"/>
        </w:rPr>
        <w:tab/>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于2022年药品供应商支付药品款325.00万元，资金使用率100%，资金严格用于预算用途。</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8024BD" w:rsidRDefault="00C55684" w:rsidP="00BB5F01">
      <w:pPr>
        <w:pStyle w:val="a0"/>
        <w:spacing w:before="93" w:line="560" w:lineRule="exact"/>
        <w:ind w:firstLineChars="200" w:firstLine="600"/>
        <w:rPr>
          <w:szCs w:val="32"/>
        </w:rPr>
      </w:pPr>
      <w:r>
        <w:rPr>
          <w:szCs w:val="32"/>
        </w:rPr>
        <w:t>本次对项目投入经济性的评估是在单位自行评估、经费测算的基础上，按照厉行节约的要求，结合</w:t>
      </w:r>
      <w:r>
        <w:rPr>
          <w:rFonts w:hint="eastAsia"/>
          <w:szCs w:val="32"/>
        </w:rPr>
        <w:t>药品</w:t>
      </w:r>
      <w:r>
        <w:rPr>
          <w:szCs w:val="32"/>
        </w:rPr>
        <w:t>价格水平，重点对</w:t>
      </w:r>
      <w:r>
        <w:rPr>
          <w:rFonts w:hint="eastAsia"/>
          <w:szCs w:val="32"/>
        </w:rPr>
        <w:t>金额</w:t>
      </w:r>
      <w:r>
        <w:rPr>
          <w:szCs w:val="32"/>
        </w:rPr>
        <w:t>是否合理、投入是否经济、预算测算是否准确、测算过程是否详细、</w:t>
      </w:r>
      <w:r>
        <w:rPr>
          <w:rFonts w:hint="eastAsia"/>
          <w:szCs w:val="32"/>
        </w:rPr>
        <w:t>测算依据是否充分等方面进行了评估。评估认为，该项目任务金额基本合理、预算测算过程较为详细、测算依据充分、有一定的经济性；通过集采、公开招标等方式采购，降低药品费用</w:t>
      </w:r>
      <w:r>
        <w:rPr>
          <w:szCs w:val="32"/>
        </w:rPr>
        <w:t>。</w:t>
      </w:r>
      <w:r>
        <w:rPr>
          <w:rFonts w:hint="eastAsia"/>
          <w:szCs w:val="32"/>
        </w:rPr>
        <w:t>保障患者用药安全的前提下，让利于民。可在本年内持续服务于患者，患者满意度在95%以上。</w:t>
      </w:r>
    </w:p>
    <w:p w:rsidR="008024BD" w:rsidRDefault="00C55684">
      <w:pPr>
        <w:adjustRightInd w:val="0"/>
        <w:snapToGrid w:val="0"/>
        <w:spacing w:line="560" w:lineRule="exact"/>
        <w:ind w:firstLine="720"/>
        <w:rPr>
          <w:rFonts w:ascii="黑体" w:eastAsia="黑体" w:hAnsi="宋体"/>
          <w:sz w:val="32"/>
          <w:szCs w:val="32"/>
        </w:rPr>
      </w:pPr>
      <w:bookmarkStart w:id="133" w:name="_Toc30553_WPSOffice_Level2"/>
      <w:r>
        <w:rPr>
          <w:rFonts w:ascii="黑体" w:eastAsia="黑体" w:hAnsi="宋体" w:hint="eastAsia"/>
          <w:sz w:val="32"/>
          <w:szCs w:val="32"/>
        </w:rPr>
        <w:t>五、评价结论及建议</w:t>
      </w:r>
      <w:bookmarkEnd w:id="133"/>
    </w:p>
    <w:p w:rsidR="008024BD" w:rsidRDefault="00C55684">
      <w:pPr>
        <w:adjustRightInd w:val="0"/>
        <w:snapToGrid w:val="0"/>
        <w:spacing w:line="560"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（一）评价结论</w:t>
      </w:r>
    </w:p>
    <w:p w:rsidR="008024BD" w:rsidRDefault="00C55684" w:rsidP="00BB5F01">
      <w:pPr>
        <w:pStyle w:val="a0"/>
        <w:spacing w:before="93" w:line="560" w:lineRule="exact"/>
        <w:ind w:firstLineChars="200" w:firstLine="600"/>
        <w:rPr>
          <w:lang w:val="zh-CN"/>
        </w:rPr>
      </w:pPr>
      <w:r>
        <w:rPr>
          <w:rFonts w:hint="eastAsia"/>
          <w:szCs w:val="32"/>
        </w:rPr>
        <w:t>综合前述评估内容来看，该项目立项必要性和依据充分，绩效目标明确，具备实施条件，具有公共性，是符合财政资金支持方向等。在项目批复额度和范围内，充分有效的使用了补助资金，</w:t>
      </w:r>
      <w:r>
        <w:rPr>
          <w:rFonts w:hint="eastAsia"/>
          <w:szCs w:val="32"/>
        </w:rPr>
        <w:lastRenderedPageBreak/>
        <w:t>对医院药品成本进行了补偿，保障了医院的运转，为医院更好的落实国家公立医院取消药品加成改革提供了支持和帮助。</w:t>
      </w:r>
    </w:p>
    <w:p w:rsidR="008024BD" w:rsidRDefault="00C55684">
      <w:pPr>
        <w:spacing w:line="560" w:lineRule="exact"/>
        <w:ind w:firstLineChars="200" w:firstLine="643"/>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8024BD" w:rsidRDefault="00C55684" w:rsidP="00BB5F01">
      <w:pPr>
        <w:pStyle w:val="a0"/>
        <w:spacing w:before="93" w:line="560" w:lineRule="exact"/>
        <w:ind w:firstLineChars="300" w:firstLine="960"/>
      </w:pPr>
      <w:r w:rsidRPr="00C55684">
        <w:rPr>
          <w:rFonts w:hAnsi="仿宋_GB2312" w:cs="仿宋_GB2312" w:hint="eastAsia"/>
          <w:kern w:val="2"/>
          <w:sz w:val="32"/>
          <w:szCs w:val="32"/>
        </w:rPr>
        <w:t>公立医院改革是一项长期艰巨复杂的系统工程，公立医院取消药品加成后，在补偿机制还未完善时，逐利机制有待破除，外部治理和内部管理水平有待提升，符合行业特点的药事服务政策有待健全，结构布局有待优化，合理的就医秩序还未形成，人民群众就医负担依然较重等，迫切需要通过合理的补偿机制逐步加以解决。相关职能部门没有正确认识预算绩效管理的机制,执行力度有待加强；</w:t>
      </w:r>
      <w:r>
        <w:rPr>
          <w:rFonts w:hAnsi="宋体" w:hint="eastAsia"/>
          <w:sz w:val="32"/>
          <w:szCs w:val="32"/>
          <w:lang w:val="zh-CN"/>
        </w:rPr>
        <w:t>资金支付流程需进一步优化。</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8024BD" w:rsidRPr="00C55684" w:rsidRDefault="00C55684" w:rsidP="00C55684">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建立公立医院科学补偿机制，以破除以药补医机制为关键环节，通过降低药品耗材费用、取消药品加成、深化医保支付方式改革、规范药品使用和医疗行为等措施，留出空间，同步理顺公立医院医疗服务价格，建立符合医疗行业特点的薪酬制度。今后仍要严格遵守项目资金管理的规章制度，严格要求，并按市财政局的要求，加强学习，提高预算管理、支付管理和绩效评价水平。</w:t>
      </w:r>
    </w:p>
    <w:p w:rsidR="008024BD" w:rsidRDefault="008024BD" w:rsidP="00BB5F01">
      <w:pPr>
        <w:pStyle w:val="a0"/>
        <w:spacing w:before="93" w:line="560" w:lineRule="exact"/>
      </w:pPr>
    </w:p>
    <w:p w:rsidR="008024BD" w:rsidRDefault="008024BD">
      <w:pPr>
        <w:spacing w:line="560" w:lineRule="exact"/>
        <w:rPr>
          <w:rStyle w:val="1Char"/>
          <w:rFonts w:ascii="黑体" w:eastAsia="黑体" w:hAnsi="黑体"/>
          <w:b w:val="0"/>
        </w:rPr>
      </w:pPr>
    </w:p>
    <w:p w:rsidR="008024BD" w:rsidRDefault="00C55684">
      <w:pPr>
        <w:widowControl/>
        <w:spacing w:line="560" w:lineRule="exact"/>
        <w:jc w:val="left"/>
        <w:rPr>
          <w:rStyle w:val="1Char"/>
          <w:rFonts w:ascii="黑体" w:eastAsia="黑体" w:hAnsi="黑体"/>
          <w:b w:val="0"/>
        </w:rPr>
      </w:pPr>
      <w:r>
        <w:rPr>
          <w:rStyle w:val="1Char"/>
          <w:rFonts w:ascii="黑体" w:eastAsia="黑体" w:hAnsi="黑体"/>
          <w:b w:val="0"/>
        </w:rPr>
        <w:br w:type="page"/>
      </w:r>
    </w:p>
    <w:p w:rsidR="008024BD" w:rsidRDefault="00C55684">
      <w:pPr>
        <w:pStyle w:val="ae"/>
        <w:spacing w:line="560" w:lineRule="exact"/>
        <w:jc w:val="center"/>
        <w:rPr>
          <w:rFonts w:ascii="方正小标宋_GBK" w:eastAsia="方正小标宋_GBK" w:hAnsi="黑体" w:cs="黑体"/>
          <w:sz w:val="36"/>
          <w:szCs w:val="36"/>
        </w:rPr>
      </w:pPr>
      <w:bookmarkStart w:id="134" w:name="_Toc15396618"/>
      <w:bookmarkStart w:id="135" w:name="_Toc18046"/>
      <w:bookmarkStart w:id="136" w:name="_Toc20683_WPSOffice_Level1"/>
      <w:r>
        <w:rPr>
          <w:rFonts w:ascii="方正小标宋简体" w:eastAsia="方正小标宋简体" w:hAnsi="方正小标宋简体" w:cs="方正小标宋简体" w:hint="eastAsia"/>
          <w:color w:val="auto"/>
          <w:kern w:val="2"/>
          <w:sz w:val="32"/>
          <w:szCs w:val="32"/>
          <w:lang w:val="en-US"/>
        </w:rPr>
        <w:lastRenderedPageBreak/>
        <w:t>2022年市级专项资金预算项目绩效自评报告</w:t>
      </w:r>
    </w:p>
    <w:p w:rsidR="008024BD" w:rsidRDefault="00C55684">
      <w:pPr>
        <w:pStyle w:val="a5"/>
        <w:spacing w:line="560" w:lineRule="exact"/>
        <w:ind w:firstLineChars="200" w:firstLine="640"/>
        <w:jc w:val="center"/>
        <w:rPr>
          <w:rFonts w:ascii="仿宋_GB2312" w:eastAsia="仿宋_GB2312" w:hAnsi="仿宋_GB2312" w:cs="仿宋_GB2312"/>
          <w:sz w:val="32"/>
          <w:szCs w:val="32"/>
        </w:rPr>
      </w:pPr>
      <w:bookmarkStart w:id="137" w:name="_Toc11749_WPSOffice_Level2"/>
      <w:bookmarkStart w:id="138" w:name="_Toc21942_WPSOffice_Level2"/>
      <w:bookmarkStart w:id="139" w:name="_Toc29123_WPSOffice_Level2"/>
      <w:bookmarkStart w:id="140" w:name="_Toc25097_WPSOffice_Level2"/>
      <w:bookmarkStart w:id="141" w:name="_Toc32391_WPSOffice_Level2"/>
      <w:r>
        <w:rPr>
          <w:rFonts w:ascii="仿宋_GB2312" w:eastAsia="仿宋_GB2312" w:hAnsi="仿宋_GB2312" w:cs="仿宋_GB2312" w:hint="eastAsia"/>
          <w:sz w:val="32"/>
          <w:szCs w:val="32"/>
        </w:rPr>
        <w:t>（援藏援彝干部人才补助）</w:t>
      </w:r>
      <w:bookmarkEnd w:id="137"/>
      <w:bookmarkEnd w:id="138"/>
      <w:bookmarkEnd w:id="139"/>
      <w:bookmarkEnd w:id="140"/>
      <w:bookmarkEnd w:id="141"/>
    </w:p>
    <w:p w:rsidR="008024BD" w:rsidRDefault="00C55684">
      <w:pPr>
        <w:autoSpaceDE w:val="0"/>
        <w:autoSpaceDN w:val="0"/>
        <w:adjustRightInd w:val="0"/>
        <w:spacing w:line="560" w:lineRule="exact"/>
        <w:ind w:firstLineChars="200" w:firstLine="640"/>
        <w:jc w:val="left"/>
        <w:rPr>
          <w:rFonts w:ascii="楷体_GB2312" w:eastAsia="楷体_GB2312" w:hAnsi="楷体_GB2312" w:cs="楷体_GB2312"/>
          <w:kern w:val="0"/>
          <w:sz w:val="32"/>
          <w:szCs w:val="32"/>
        </w:rPr>
      </w:pPr>
      <w:bookmarkStart w:id="142" w:name="_Toc17118_WPSOffice_Level2"/>
      <w:bookmarkStart w:id="143" w:name="_Toc3060_WPSOffice_Level2"/>
      <w:bookmarkStart w:id="144" w:name="_Toc20646_WPSOffice_Level2"/>
      <w:bookmarkStart w:id="145" w:name="_Toc1859_WPSOffice_Level2"/>
      <w:bookmarkStart w:id="146" w:name="_Toc20329_WPSOffice_Level2"/>
      <w:r>
        <w:rPr>
          <w:rFonts w:ascii="黑体" w:eastAsia="黑体" w:hAnsi="黑体" w:cs="黑体" w:hint="eastAsia"/>
          <w:kern w:val="0"/>
          <w:sz w:val="32"/>
          <w:szCs w:val="32"/>
        </w:rPr>
        <w:t>一、项目概况</w:t>
      </w:r>
      <w:bookmarkEnd w:id="142"/>
      <w:bookmarkEnd w:id="143"/>
      <w:bookmarkEnd w:id="144"/>
      <w:bookmarkEnd w:id="145"/>
      <w:bookmarkEnd w:id="146"/>
    </w:p>
    <w:p w:rsidR="008024BD" w:rsidRDefault="00C55684">
      <w:pPr>
        <w:adjustRightInd w:val="0"/>
        <w:snapToGrid w:val="0"/>
        <w:spacing w:line="560" w:lineRule="exact"/>
        <w:ind w:firstLine="720"/>
        <w:rPr>
          <w:rFonts w:ascii="楷体_GB2312" w:eastAsia="楷体_GB2312" w:hAnsi="宋体"/>
          <w:b/>
          <w:sz w:val="32"/>
          <w:szCs w:val="32"/>
          <w:lang w:val="zh-CN"/>
        </w:rPr>
      </w:pPr>
      <w:bookmarkStart w:id="147" w:name="_Toc28715_WPSOffice_Level3"/>
      <w:bookmarkStart w:id="148" w:name="_Toc28981_WPSOffice_Level3"/>
      <w:r>
        <w:rPr>
          <w:rFonts w:ascii="楷体_GB2312" w:eastAsia="楷体_GB2312" w:hAnsi="宋体" w:hint="eastAsia"/>
          <w:b/>
          <w:sz w:val="32"/>
          <w:szCs w:val="32"/>
          <w:lang w:val="zh-CN"/>
        </w:rPr>
        <w:t>（一）项目基本情况</w:t>
      </w:r>
      <w:bookmarkEnd w:id="147"/>
      <w:bookmarkEnd w:id="148"/>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攀组发[2018]10号《攀枝花市援藏援彝干部人才管理实施细则（试用）》和川组通[2018]68号《关于印发凉山州脱贫攻坚综合帮扶工作队管理办法》，进一步加强援藏援彝干部人才管理服务工作，充分发挥援藏援彝干部人才在推进藏区彝区脱贫攻坚和社会发展中的重要作用。</w:t>
      </w:r>
    </w:p>
    <w:p w:rsidR="008024BD" w:rsidRDefault="00C55684">
      <w:pPr>
        <w:adjustRightInd w:val="0"/>
        <w:snapToGrid w:val="0"/>
        <w:spacing w:line="560" w:lineRule="exact"/>
        <w:ind w:firstLine="720"/>
        <w:rPr>
          <w:rFonts w:ascii="楷体_GB2312" w:eastAsia="楷体_GB2312" w:hAnsi="宋体"/>
          <w:b/>
          <w:sz w:val="32"/>
          <w:szCs w:val="32"/>
          <w:lang w:val="zh-CN"/>
        </w:rPr>
      </w:pPr>
      <w:bookmarkStart w:id="149" w:name="_Toc9847_WPSOffice_Level3"/>
      <w:bookmarkStart w:id="150" w:name="_Toc13100_WPSOffice_Level3"/>
      <w:r>
        <w:rPr>
          <w:rFonts w:ascii="楷体_GB2312" w:eastAsia="楷体_GB2312" w:hAnsi="宋体" w:hint="eastAsia"/>
          <w:b/>
          <w:sz w:val="32"/>
          <w:szCs w:val="32"/>
          <w:lang w:val="zh-CN"/>
        </w:rPr>
        <w:t>（二）项目绩效目标</w:t>
      </w:r>
      <w:bookmarkEnd w:id="149"/>
      <w:bookmarkEnd w:id="150"/>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让我单位3名援藏援彝干部人才能够安心的在藏区彝区工作，做好援藏援彝干部人才的生活保障，及时兑现生活补助，使他们工作生活有保障，以更加饱满的热情和更加昂扬的斗志，为藏区彝区繁荣发展、民生改善、脱贫攻坚事业贡献力量。</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8024BD" w:rsidRDefault="00C55684">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成立自评工作小组，由项目具体负责人对项目实施内容进行自评，对项目具体实施情况与项目预算绩效进行对比，对数量指标、质量指标、成本指标、时效指标、效益指标及满意度指标等进行核实，形成自评报告。单位自评工作组再逐一对项目的实施情况与自评报告和预算绩效指标进行核对，集体讨论后形成单位自评报告。</w:t>
      </w:r>
    </w:p>
    <w:p w:rsidR="008024BD" w:rsidRDefault="00C55684">
      <w:pPr>
        <w:pStyle w:val="a5"/>
        <w:spacing w:line="560" w:lineRule="exact"/>
        <w:ind w:firstLineChars="200" w:firstLine="640"/>
        <w:rPr>
          <w:rFonts w:ascii="黑体" w:eastAsia="黑体" w:hAnsi="黑体" w:cs="黑体"/>
          <w:sz w:val="32"/>
          <w:szCs w:val="32"/>
        </w:rPr>
      </w:pPr>
      <w:bookmarkStart w:id="151" w:name="_Toc30375_WPSOffice_Level2"/>
      <w:bookmarkStart w:id="152" w:name="_Toc8672_WPSOffice_Level2"/>
      <w:bookmarkStart w:id="153" w:name="_Toc30091_WPSOffice_Level2"/>
      <w:bookmarkStart w:id="154" w:name="_Toc13176_WPSOffice_Level2"/>
      <w:bookmarkStart w:id="155" w:name="_Toc2340_WPSOffice_Level2"/>
      <w:r>
        <w:rPr>
          <w:rFonts w:ascii="黑体" w:eastAsia="黑体" w:hAnsi="黑体" w:cs="黑体" w:hint="eastAsia"/>
          <w:sz w:val="32"/>
          <w:szCs w:val="32"/>
        </w:rPr>
        <w:t>二、项目资金申报及使用情况</w:t>
      </w:r>
      <w:bookmarkEnd w:id="151"/>
      <w:bookmarkEnd w:id="152"/>
      <w:bookmarkEnd w:id="153"/>
      <w:bookmarkEnd w:id="154"/>
      <w:bookmarkEnd w:id="155"/>
    </w:p>
    <w:p w:rsidR="008024BD" w:rsidRDefault="00C55684">
      <w:pPr>
        <w:pStyle w:val="a5"/>
        <w:spacing w:line="560" w:lineRule="exact"/>
        <w:ind w:firstLineChars="200" w:firstLine="643"/>
        <w:rPr>
          <w:rFonts w:ascii="楷体_GB2312" w:eastAsia="楷体_GB2312" w:hAnsi="楷体_GB2312" w:cs="楷体_GB2312"/>
          <w:b/>
          <w:bCs/>
          <w:sz w:val="32"/>
          <w:szCs w:val="32"/>
        </w:rPr>
      </w:pPr>
      <w:bookmarkStart w:id="156" w:name="_Toc13305_WPSOffice_Level3"/>
      <w:bookmarkStart w:id="157" w:name="_Toc15829_WPSOffice_Level3"/>
      <w:r>
        <w:rPr>
          <w:rFonts w:ascii="楷体_GB2312" w:eastAsia="楷体_GB2312" w:hAnsi="楷体_GB2312" w:cs="楷体_GB2312" w:hint="eastAsia"/>
          <w:b/>
          <w:bCs/>
          <w:sz w:val="32"/>
          <w:szCs w:val="32"/>
        </w:rPr>
        <w:t>（一）项目资金申报及批复情况</w:t>
      </w:r>
      <w:bookmarkEnd w:id="156"/>
      <w:bookmarkEnd w:id="157"/>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根据一次性补助（2000元/人）+生活补助（50元/天*工作日）+艰边、交通及通讯费（600元/月）+特殊补助（10000元/年），我院2022年派出3名医师作为援藏援彝干部人才，申报金额为10万元，预算批复13.45万元。</w:t>
      </w:r>
    </w:p>
    <w:p w:rsidR="008024BD" w:rsidRDefault="00C55684">
      <w:pPr>
        <w:pStyle w:val="a5"/>
        <w:spacing w:line="560" w:lineRule="exact"/>
        <w:ind w:firstLineChars="200" w:firstLine="643"/>
        <w:rPr>
          <w:rFonts w:ascii="楷体_GB2312" w:eastAsia="楷体_GB2312" w:hAnsi="楷体_GB2312" w:cs="楷体_GB2312"/>
          <w:b/>
          <w:bCs/>
          <w:sz w:val="32"/>
          <w:szCs w:val="32"/>
        </w:rPr>
      </w:pPr>
      <w:bookmarkStart w:id="158" w:name="_Toc22106_WPSOffice_Level3"/>
      <w:bookmarkStart w:id="159" w:name="_Toc7526_WPSOffice_Level3"/>
      <w:r>
        <w:rPr>
          <w:rFonts w:ascii="楷体_GB2312" w:eastAsia="楷体_GB2312" w:hAnsi="楷体_GB2312" w:cs="楷体_GB2312" w:hint="eastAsia"/>
          <w:b/>
          <w:bCs/>
          <w:sz w:val="32"/>
          <w:szCs w:val="32"/>
        </w:rPr>
        <w:t>（二）资金计划、到位及使用情况</w:t>
      </w:r>
      <w:bookmarkEnd w:id="158"/>
      <w:bookmarkEnd w:id="159"/>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1．资金计划</w:t>
      </w:r>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补助资金做好援藏援彝干部人才的生活保障，及时兑现生活补助。每月15日前发放援藏干部生活补助、艰苦边远地区津贴、交通及通讯补贴等。</w:t>
      </w:r>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2．资金到位</w:t>
      </w:r>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该项资金于2022年2月由市财政局随当年预算全部下达到我院，共13.45万元。</w:t>
      </w:r>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3．资金使用</w:t>
      </w:r>
    </w:p>
    <w:p w:rsidR="008024BD" w:rsidRDefault="00C55684">
      <w:pPr>
        <w:spacing w:line="560" w:lineRule="exact"/>
        <w:ind w:firstLineChars="200" w:firstLine="640"/>
        <w:rPr>
          <w:rFonts w:eastAsia="仿宋_GB2312"/>
        </w:rPr>
      </w:pPr>
      <w:r>
        <w:rPr>
          <w:rFonts w:ascii="仿宋_GB2312" w:eastAsia="仿宋_GB2312" w:hAnsi="仿宋_GB2312" w:cs="仿宋_GB2312" w:hint="eastAsia"/>
          <w:sz w:val="32"/>
          <w:szCs w:val="32"/>
        </w:rPr>
        <w:t>2022年我院实际发放援藏干部补助13.45万元，执行率100.00%，</w:t>
      </w:r>
      <w:bookmarkStart w:id="160" w:name="_Toc29753_WPSOffice_Level3"/>
      <w:bookmarkStart w:id="161" w:name="_Toc24954_WPSOffice_Level3"/>
      <w:r w:rsidRPr="00C55684">
        <w:rPr>
          <w:rFonts w:ascii="仿宋_GB2312" w:eastAsia="仿宋_GB2312" w:hAnsi="仿宋_GB2312" w:cs="仿宋_GB2312" w:hint="eastAsia"/>
          <w:sz w:val="32"/>
          <w:szCs w:val="32"/>
        </w:rPr>
        <w:t>资金使用安全性、规范性、有效性符合相关规定；资金支付范围、标准、进度、依据合规合法，与预算相符。</w:t>
      </w:r>
    </w:p>
    <w:p w:rsidR="008024BD" w:rsidRDefault="00C55684">
      <w:pPr>
        <w:pStyle w:val="a5"/>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（三）项目财务管理情况</w:t>
      </w:r>
      <w:bookmarkEnd w:id="160"/>
      <w:bookmarkEnd w:id="161"/>
    </w:p>
    <w:p w:rsidR="008024BD" w:rsidRPr="00C55684" w:rsidRDefault="00C55684">
      <w:pPr>
        <w:spacing w:line="560" w:lineRule="exact"/>
        <w:ind w:firstLineChars="200" w:firstLine="640"/>
        <w:rPr>
          <w:rFonts w:ascii="仿宋_GB2312" w:eastAsia="仿宋_GB2312" w:hAnsi="仿宋_GB2312" w:cs="仿宋_GB2312"/>
          <w:sz w:val="32"/>
          <w:szCs w:val="32"/>
        </w:rPr>
      </w:pPr>
      <w:bookmarkStart w:id="162" w:name="_Toc11218_WPSOffice_Level2"/>
      <w:bookmarkStart w:id="163" w:name="_Toc31110_WPSOffice_Level2"/>
      <w:bookmarkStart w:id="164" w:name="_Toc6617_WPSOffice_Level2"/>
      <w:bookmarkStart w:id="165" w:name="_Toc28012_WPSOffice_Level2"/>
      <w:bookmarkStart w:id="166" w:name="_Toc7107_WPSOffice_Level2"/>
      <w:r w:rsidRPr="00C55684">
        <w:rPr>
          <w:rFonts w:ascii="仿宋_GB2312" w:eastAsia="仿宋_GB2312" w:hAnsi="仿宋_GB2312" w:cs="仿宋_GB2312" w:hint="eastAsia"/>
          <w:sz w:val="32"/>
          <w:szCs w:val="32"/>
        </w:rPr>
        <w:t>我院财务制度健全，严格执行财务管理制度，账务处理及时、规范，会计核算规范；对专项资金专人专账管理，严格按批复范围和用途使用。</w:t>
      </w:r>
    </w:p>
    <w:p w:rsidR="008024BD" w:rsidRDefault="00C55684">
      <w:pPr>
        <w:pStyle w:val="a5"/>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三、项目实施及管理情况</w:t>
      </w:r>
      <w:bookmarkEnd w:id="162"/>
      <w:bookmarkEnd w:id="163"/>
      <w:bookmarkEnd w:id="164"/>
      <w:bookmarkEnd w:id="165"/>
      <w:bookmarkEnd w:id="166"/>
    </w:p>
    <w:p w:rsidR="008024BD" w:rsidRDefault="00C55684">
      <w:pPr>
        <w:pStyle w:val="a5"/>
        <w:spacing w:line="560" w:lineRule="exact"/>
        <w:ind w:firstLineChars="200" w:firstLine="643"/>
        <w:rPr>
          <w:rFonts w:ascii="楷体_GB2312" w:eastAsia="楷体_GB2312" w:hAnsi="楷体_GB2312" w:cs="楷体_GB2312"/>
          <w:b/>
          <w:bCs/>
          <w:sz w:val="32"/>
          <w:szCs w:val="32"/>
        </w:rPr>
      </w:pPr>
      <w:bookmarkStart w:id="167" w:name="_Toc17174_WPSOffice_Level3"/>
      <w:bookmarkStart w:id="168" w:name="_Toc7190_WPSOffice_Level3"/>
      <w:r>
        <w:rPr>
          <w:rFonts w:ascii="楷体_GB2312" w:eastAsia="楷体_GB2312" w:hAnsi="楷体_GB2312" w:cs="楷体_GB2312" w:hint="eastAsia"/>
          <w:b/>
          <w:bCs/>
          <w:sz w:val="32"/>
          <w:szCs w:val="32"/>
        </w:rPr>
        <w:t>（一）项目组织架构及实施流程</w:t>
      </w:r>
      <w:bookmarkEnd w:id="167"/>
      <w:bookmarkEnd w:id="168"/>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该项资金主管部门为我院运管部和财务科，运管部主要负责资金的计划制定和审批，财务科负责款项的支付和账务</w:t>
      </w:r>
      <w:r>
        <w:rPr>
          <w:rFonts w:ascii="仿宋_GB2312" w:eastAsia="仿宋_GB2312" w:hAnsi="仿宋_GB2312" w:cs="仿宋_GB2312" w:hint="eastAsia"/>
          <w:sz w:val="32"/>
          <w:szCs w:val="32"/>
        </w:rPr>
        <w:lastRenderedPageBreak/>
        <w:t>处理；项目的具体实施由人力资源部负责。</w:t>
      </w:r>
    </w:p>
    <w:p w:rsidR="008024BD" w:rsidRDefault="00C55684">
      <w:pPr>
        <w:pStyle w:val="a5"/>
        <w:spacing w:line="560" w:lineRule="exact"/>
        <w:ind w:firstLineChars="200" w:firstLine="643"/>
        <w:rPr>
          <w:rFonts w:ascii="楷体_GB2312" w:eastAsia="楷体_GB2312" w:hAnsi="楷体_GB2312" w:cs="楷体_GB2312"/>
          <w:b/>
          <w:bCs/>
          <w:sz w:val="32"/>
          <w:szCs w:val="32"/>
        </w:rPr>
      </w:pPr>
      <w:bookmarkStart w:id="169" w:name="_Toc14188_WPSOffice_Level3"/>
      <w:bookmarkStart w:id="170" w:name="_Toc10175_WPSOffice_Level3"/>
      <w:r>
        <w:rPr>
          <w:rFonts w:ascii="楷体_GB2312" w:eastAsia="楷体_GB2312" w:hAnsi="楷体_GB2312" w:cs="楷体_GB2312" w:hint="eastAsia"/>
          <w:b/>
          <w:bCs/>
          <w:sz w:val="32"/>
          <w:szCs w:val="32"/>
        </w:rPr>
        <w:t>（二）项目管理情况</w:t>
      </w:r>
      <w:bookmarkEnd w:id="169"/>
      <w:bookmarkEnd w:id="170"/>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严格执行援藏援彝干部人才各项补助发放和工作生活保障等待遇。着力构建互帮共进、互助共赢的长效机制，以更加严实的举措，助力打赢攻坚战。</w:t>
      </w:r>
    </w:p>
    <w:p w:rsidR="008024BD" w:rsidRDefault="00C55684">
      <w:pPr>
        <w:pStyle w:val="a5"/>
        <w:spacing w:line="560" w:lineRule="exact"/>
        <w:ind w:firstLineChars="200" w:firstLine="643"/>
        <w:rPr>
          <w:rFonts w:ascii="楷体_GB2312" w:eastAsia="楷体_GB2312" w:hAnsi="楷体_GB2312" w:cs="楷体_GB2312"/>
          <w:b/>
          <w:bCs/>
          <w:sz w:val="32"/>
          <w:szCs w:val="32"/>
        </w:rPr>
      </w:pPr>
      <w:bookmarkStart w:id="171" w:name="_Toc3849_WPSOffice_Level3"/>
      <w:bookmarkStart w:id="172" w:name="_Toc20562_WPSOffice_Level3"/>
      <w:r>
        <w:rPr>
          <w:rFonts w:ascii="楷体_GB2312" w:eastAsia="楷体_GB2312" w:hAnsi="楷体_GB2312" w:cs="楷体_GB2312" w:hint="eastAsia"/>
          <w:b/>
          <w:bCs/>
          <w:sz w:val="32"/>
          <w:szCs w:val="32"/>
        </w:rPr>
        <w:t>（三）项目监管情况</w:t>
      </w:r>
      <w:bookmarkEnd w:id="171"/>
      <w:bookmarkEnd w:id="172"/>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医院纪检科、审计科，对该项目进行全程监督管控，制定审批制度，严格按规定的范围和标准发放补助。</w:t>
      </w:r>
    </w:p>
    <w:p w:rsidR="008024BD" w:rsidRDefault="00C55684">
      <w:pPr>
        <w:pStyle w:val="a5"/>
        <w:spacing w:line="560" w:lineRule="exact"/>
        <w:ind w:firstLineChars="200" w:firstLine="640"/>
        <w:rPr>
          <w:rFonts w:ascii="仿宋_GB2312" w:eastAsia="仿宋_GB2312" w:hAnsi="仿宋_GB2312" w:cs="仿宋_GB2312"/>
          <w:sz w:val="32"/>
          <w:szCs w:val="32"/>
        </w:rPr>
      </w:pPr>
      <w:bookmarkStart w:id="173" w:name="_Toc31858_WPSOffice_Level2"/>
      <w:bookmarkStart w:id="174" w:name="_Toc22296_WPSOffice_Level2"/>
      <w:bookmarkStart w:id="175" w:name="_Toc29895_WPSOffice_Level2"/>
      <w:bookmarkStart w:id="176" w:name="_Toc13127_WPSOffice_Level2"/>
      <w:bookmarkStart w:id="177" w:name="_Toc11233_WPSOffice_Level2"/>
      <w:r>
        <w:rPr>
          <w:rFonts w:ascii="黑体" w:eastAsia="黑体" w:hAnsi="黑体" w:cs="黑体" w:hint="eastAsia"/>
          <w:sz w:val="32"/>
          <w:szCs w:val="32"/>
        </w:rPr>
        <w:t>四、项目绩效情况</w:t>
      </w:r>
      <w:bookmarkEnd w:id="173"/>
      <w:bookmarkEnd w:id="174"/>
      <w:bookmarkEnd w:id="175"/>
      <w:bookmarkEnd w:id="176"/>
      <w:bookmarkEnd w:id="177"/>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于2022年支付援藏援彝干部人才补助13.45万元，资金使用率100%，资金严格用于预算用途。</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8024BD" w:rsidRDefault="00C55684">
      <w:pPr>
        <w:pStyle w:val="a5"/>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援藏援彝干部人才的生活保障，及时兑现生活补助，使他们工作生活有保障，以更加饱满的热情和更加昂扬的斗志，为藏区彝区繁荣发展、民生改善、为脱贫攻坚事业贡献力量。在当地开展义诊约15次，开展业务培训约10次，显著提高木里县的医疗水平，对全县约13万人口的医疗卫生服务改善将在数年内持续发挥作用，对当地医疗水平的提升具有永久性的影响。</w:t>
      </w:r>
    </w:p>
    <w:p w:rsidR="008024BD" w:rsidRDefault="00C55684">
      <w:pPr>
        <w:pStyle w:val="a5"/>
        <w:spacing w:line="560" w:lineRule="exact"/>
        <w:ind w:firstLineChars="200" w:firstLine="640"/>
        <w:rPr>
          <w:rFonts w:ascii="黑体" w:eastAsia="黑体" w:hAnsi="黑体" w:cs="黑体"/>
          <w:sz w:val="32"/>
          <w:szCs w:val="32"/>
        </w:rPr>
      </w:pPr>
      <w:bookmarkStart w:id="178" w:name="_Toc14418_WPSOffice_Level2"/>
      <w:bookmarkStart w:id="179" w:name="_Toc22096_WPSOffice_Level2"/>
      <w:bookmarkStart w:id="180" w:name="_Toc1656_WPSOffice_Level2"/>
      <w:bookmarkStart w:id="181" w:name="_Toc10871_WPSOffice_Level2"/>
      <w:bookmarkStart w:id="182" w:name="_Toc12684_WPSOffice_Level2"/>
      <w:r>
        <w:rPr>
          <w:rFonts w:ascii="黑体" w:eastAsia="黑体" w:hAnsi="黑体" w:cs="黑体" w:hint="eastAsia"/>
          <w:sz w:val="32"/>
          <w:szCs w:val="32"/>
        </w:rPr>
        <w:t>五、评价结论及建议</w:t>
      </w:r>
      <w:bookmarkEnd w:id="178"/>
      <w:bookmarkEnd w:id="179"/>
      <w:bookmarkEnd w:id="180"/>
      <w:bookmarkEnd w:id="181"/>
      <w:bookmarkEnd w:id="182"/>
    </w:p>
    <w:p w:rsidR="008024BD" w:rsidRDefault="00C55684">
      <w:pPr>
        <w:adjustRightInd w:val="0"/>
        <w:snapToGrid w:val="0"/>
        <w:spacing w:line="560" w:lineRule="exact"/>
        <w:ind w:firstLine="720"/>
        <w:rPr>
          <w:rFonts w:ascii="仿宋_GB2312" w:eastAsia="仿宋_GB2312" w:hAnsi="仿宋_GB2312" w:cs="仿宋_GB2312"/>
          <w:kern w:val="0"/>
          <w:sz w:val="32"/>
          <w:szCs w:val="32"/>
          <w:shd w:val="clear" w:color="auto" w:fill="FFFFFF"/>
          <w:lang w:val="zh-CN"/>
        </w:rPr>
      </w:pPr>
      <w:r>
        <w:rPr>
          <w:rFonts w:ascii="楷体_GB2312" w:eastAsia="楷体_GB2312" w:hAnsi="宋体" w:hint="eastAsia"/>
          <w:b/>
          <w:sz w:val="32"/>
          <w:szCs w:val="32"/>
          <w:lang w:val="zh-CN"/>
        </w:rPr>
        <w:t>（一）评价结论</w:t>
      </w:r>
    </w:p>
    <w:p w:rsidR="008024BD" w:rsidRDefault="00C55684">
      <w:pPr>
        <w:pStyle w:val="a5"/>
        <w:spacing w:line="560" w:lineRule="exact"/>
        <w:ind w:firstLineChars="200" w:firstLine="640"/>
      </w:pPr>
      <w:r>
        <w:rPr>
          <w:rFonts w:ascii="仿宋_GB2312" w:eastAsia="仿宋_GB2312" w:hAnsi="仿宋_GB2312" w:cs="仿宋_GB2312" w:hint="eastAsia"/>
          <w:sz w:val="32"/>
          <w:szCs w:val="32"/>
        </w:rPr>
        <w:t>综合前述评估内容来看，该项目立项必要性和依据充分，绩效目标明确，具备实施条件，具有公共性，是符合财政资</w:t>
      </w:r>
      <w:r>
        <w:rPr>
          <w:rFonts w:ascii="仿宋_GB2312" w:eastAsia="仿宋_GB2312" w:hAnsi="仿宋_GB2312" w:cs="仿宋_GB2312" w:hint="eastAsia"/>
          <w:sz w:val="32"/>
          <w:szCs w:val="32"/>
        </w:rPr>
        <w:lastRenderedPageBreak/>
        <w:t xml:space="preserve">金支持方向.每月15日前及时按标准兑现了生活补助，保障了援藏医师的生活，提高了援藏医师的工作热情，为藏区彝区繁荣发展和民生改善，为脱贫攻坚事业贡献力量。 </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8024BD" w:rsidRDefault="00C55684" w:rsidP="00BB5F01">
      <w:pPr>
        <w:pStyle w:val="a0"/>
        <w:spacing w:before="93" w:line="560" w:lineRule="exact"/>
        <w:ind w:firstLineChars="300" w:firstLine="960"/>
      </w:pPr>
      <w:r w:rsidRPr="00C55684">
        <w:rPr>
          <w:rFonts w:hAnsi="宋体" w:cs="宋体" w:hint="eastAsia"/>
          <w:sz w:val="32"/>
          <w:szCs w:val="32"/>
          <w:lang w:val="zh-CN"/>
        </w:rPr>
        <w:t>相关职能部门没有正确认识预算绩效管理的机制</w:t>
      </w:r>
      <w:r w:rsidRPr="00C55684">
        <w:rPr>
          <w:rFonts w:hAnsi="宋体" w:cs="宋体" w:hint="eastAsia"/>
          <w:sz w:val="32"/>
          <w:szCs w:val="32"/>
        </w:rPr>
        <w:t>,执行力度有待加强</w:t>
      </w:r>
      <w:r w:rsidRPr="00C55684">
        <w:rPr>
          <w:rFonts w:hAnsi="宋体" w:cs="宋体" w:hint="eastAsia"/>
          <w:sz w:val="32"/>
          <w:szCs w:val="32"/>
          <w:lang w:val="zh-CN"/>
        </w:rPr>
        <w:t>；</w:t>
      </w:r>
      <w:r w:rsidRPr="00C55684">
        <w:rPr>
          <w:rFonts w:hAnsi="宋体" w:hint="eastAsia"/>
          <w:sz w:val="32"/>
          <w:szCs w:val="32"/>
          <w:lang w:val="zh-CN"/>
        </w:rPr>
        <w:t>资</w:t>
      </w:r>
      <w:r>
        <w:rPr>
          <w:rFonts w:hAnsi="宋体" w:hint="eastAsia"/>
          <w:sz w:val="32"/>
          <w:szCs w:val="32"/>
          <w:lang w:val="zh-CN"/>
        </w:rPr>
        <w:t>金支付流程需进一步优化。</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8024BD" w:rsidRPr="00C55684" w:rsidRDefault="00C55684" w:rsidP="00BB5F01">
      <w:pPr>
        <w:pStyle w:val="a0"/>
        <w:spacing w:before="93" w:line="560" w:lineRule="exact"/>
        <w:ind w:firstLineChars="200" w:firstLine="640"/>
        <w:rPr>
          <w:rFonts w:hAnsi="宋体" w:cs="宋体"/>
          <w:sz w:val="32"/>
          <w:szCs w:val="32"/>
        </w:rPr>
      </w:pPr>
      <w:r w:rsidRPr="00C55684">
        <w:rPr>
          <w:rFonts w:hAnsi="仿宋_GB2312" w:cs="仿宋_GB2312" w:hint="eastAsia"/>
          <w:sz w:val="32"/>
          <w:szCs w:val="32"/>
        </w:rPr>
        <w:t>今后仍要严格遵守项目资金管理的规章制度，严格要求，按标准及时发放补助，并按市财政局的要求，加强学习，提高预算管理、支付管理和绩效评价水平。</w:t>
      </w:r>
    </w:p>
    <w:p w:rsidR="008024BD" w:rsidRDefault="008024BD">
      <w:pPr>
        <w:spacing w:line="560" w:lineRule="exact"/>
        <w:rPr>
          <w:rStyle w:val="1Char"/>
          <w:rFonts w:ascii="黑体" w:eastAsia="黑体" w:hAnsi="黑体"/>
          <w:b w:val="0"/>
        </w:rPr>
      </w:pPr>
    </w:p>
    <w:p w:rsidR="008024BD" w:rsidRDefault="00C55684">
      <w:pPr>
        <w:widowControl/>
        <w:spacing w:line="560" w:lineRule="exact"/>
        <w:jc w:val="left"/>
        <w:rPr>
          <w:rStyle w:val="1Char"/>
          <w:rFonts w:ascii="黑体" w:eastAsia="黑体" w:hAnsi="黑体"/>
          <w:b w:val="0"/>
        </w:rPr>
      </w:pPr>
      <w:r>
        <w:rPr>
          <w:rStyle w:val="1Char"/>
          <w:rFonts w:ascii="黑体" w:eastAsia="黑体" w:hAnsi="黑体"/>
          <w:b w:val="0"/>
        </w:rPr>
        <w:br w:type="page"/>
      </w:r>
    </w:p>
    <w:p w:rsidR="008024BD" w:rsidRDefault="00C55684">
      <w:pPr>
        <w:pStyle w:val="ae"/>
        <w:spacing w:line="560"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2022年市级专项资金预算项目绩效自评报告</w:t>
      </w:r>
    </w:p>
    <w:p w:rsidR="008024BD" w:rsidRDefault="00C55684">
      <w:pPr>
        <w:spacing w:line="560" w:lineRule="exact"/>
        <w:ind w:firstLine="883"/>
        <w:jc w:val="center"/>
        <w:rPr>
          <w:rFonts w:ascii="仿宋_GB2312" w:eastAsia="仿宋_GB2312" w:hAnsi="宋体"/>
          <w:sz w:val="32"/>
          <w:szCs w:val="32"/>
          <w:lang w:val="zh-CN"/>
        </w:rPr>
      </w:pPr>
      <w:r>
        <w:rPr>
          <w:rFonts w:ascii="仿宋_GB2312" w:eastAsia="仿宋_GB2312" w:hAnsi="宋体" w:hint="eastAsia"/>
          <w:sz w:val="32"/>
          <w:szCs w:val="32"/>
          <w:lang w:val="zh-CN"/>
        </w:rPr>
        <w:t>（基本养老保险（事业））</w:t>
      </w:r>
    </w:p>
    <w:p w:rsidR="008024BD" w:rsidRDefault="008024BD">
      <w:pPr>
        <w:pStyle w:val="ae"/>
        <w:spacing w:line="560" w:lineRule="exact"/>
        <w:jc w:val="center"/>
        <w:rPr>
          <w:rFonts w:ascii="方正小标宋简体" w:eastAsia="方正小标宋简体" w:hAnsi="方正小标宋简体" w:cs="方正小标宋简体"/>
          <w:color w:val="auto"/>
          <w:kern w:val="2"/>
          <w:sz w:val="32"/>
          <w:szCs w:val="32"/>
          <w:lang w:val="en-US"/>
        </w:rPr>
      </w:pPr>
    </w:p>
    <w:p w:rsidR="008024BD" w:rsidRDefault="00C55684">
      <w:pPr>
        <w:autoSpaceDE w:val="0"/>
        <w:autoSpaceDN w:val="0"/>
        <w:adjustRightInd w:val="0"/>
        <w:spacing w:line="560" w:lineRule="exact"/>
        <w:ind w:firstLineChars="200" w:firstLine="640"/>
        <w:jc w:val="left"/>
        <w:rPr>
          <w:rFonts w:eastAsia="黑体"/>
          <w:kern w:val="0"/>
          <w:sz w:val="32"/>
          <w:szCs w:val="32"/>
        </w:rPr>
      </w:pPr>
      <w:bookmarkStart w:id="183" w:name="_Toc18008_WPSOffice_Level2"/>
      <w:r>
        <w:rPr>
          <w:rFonts w:eastAsia="黑体"/>
          <w:kern w:val="0"/>
          <w:sz w:val="32"/>
          <w:szCs w:val="32"/>
        </w:rPr>
        <w:t>一、项目概况</w:t>
      </w:r>
      <w:bookmarkEnd w:id="183"/>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8024BD" w:rsidRPr="00C55684" w:rsidRDefault="00C55684" w:rsidP="00BB5F01">
      <w:pPr>
        <w:pStyle w:val="a0"/>
        <w:spacing w:before="93" w:line="560" w:lineRule="exact"/>
        <w:ind w:firstLineChars="200" w:firstLine="640"/>
        <w:rPr>
          <w:rFonts w:hAnsi="仿宋_GB2312" w:cs="仿宋_GB2312"/>
          <w:sz w:val="32"/>
          <w:szCs w:val="32"/>
        </w:rPr>
      </w:pPr>
      <w:r w:rsidRPr="00C55684">
        <w:rPr>
          <w:rFonts w:hAnsi="仿宋_GB2312" w:cs="仿宋_GB2312" w:hint="eastAsia"/>
          <w:sz w:val="32"/>
          <w:szCs w:val="32"/>
        </w:rPr>
        <w:t>依据国家和省、市社会养老保险的方针政策和法律法规,负责单位参保办理和基本养老保险费、职业年金的征缴申报管理；负责参保人员的信息新增申报、终止、中断等业务办理。</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8024BD" w:rsidRPr="00C55684" w:rsidRDefault="00C55684" w:rsidP="00BB5F01">
      <w:pPr>
        <w:pStyle w:val="a0"/>
        <w:spacing w:before="93" w:line="560" w:lineRule="exact"/>
        <w:ind w:firstLineChars="200" w:firstLine="640"/>
        <w:rPr>
          <w:rFonts w:hAnsi="仿宋_GB2312" w:cs="仿宋_GB2312"/>
          <w:sz w:val="32"/>
          <w:szCs w:val="32"/>
        </w:rPr>
      </w:pPr>
      <w:r w:rsidRPr="00C55684">
        <w:rPr>
          <w:rFonts w:hAnsi="仿宋_GB2312" w:cs="仿宋_GB2312" w:hint="eastAsia"/>
          <w:sz w:val="32"/>
          <w:szCs w:val="32"/>
        </w:rPr>
        <w:t>我单位为“差额事业单位”，作为养老保险制度改革的实施主体，要扎实做好各项基础工作，履行单位缴费和代扣代缴职工个人缴费的职责，按规定及时足额缴纳社会保险费，办好职工参保的各项具体工作。</w:t>
      </w:r>
    </w:p>
    <w:p w:rsidR="008024BD" w:rsidRDefault="00C55684">
      <w:pPr>
        <w:adjustRightInd w:val="0"/>
        <w:snapToGrid w:val="0"/>
        <w:spacing w:line="56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8024BD" w:rsidRPr="00C55684" w:rsidRDefault="00C55684">
      <w:pPr>
        <w:widowControl/>
        <w:adjustRightInd w:val="0"/>
        <w:snapToGrid w:val="0"/>
        <w:spacing w:line="560" w:lineRule="exact"/>
        <w:ind w:firstLineChars="200" w:firstLine="640"/>
        <w:contextualSpacing/>
        <w:jc w:val="left"/>
        <w:rPr>
          <w:rFonts w:ascii="仿宋_GB2312" w:eastAsia="仿宋_GB2312" w:hAnsi="仿宋_GB2312" w:cs="仿宋_GB2312"/>
          <w:sz w:val="32"/>
          <w:szCs w:val="32"/>
        </w:rPr>
      </w:pPr>
      <w:r w:rsidRPr="00C55684">
        <w:rPr>
          <w:rFonts w:ascii="仿宋_GB2312" w:eastAsia="仿宋_GB2312" w:hAnsi="宋体" w:cs="宋体" w:hint="eastAsia"/>
          <w:kern w:val="0"/>
          <w:sz w:val="32"/>
          <w:szCs w:val="32"/>
        </w:rPr>
        <w:t>成立自评工作小组，由项目具体负责人对项目实施内容进行自评，对项目具体实施情况与项目预算绩效进行对比，对数量指标、质量指标、成本指标、时效指标、效益指标及满意度指标等进行核实，形成自评报告。单位自评工作组再逐一对项目的实施情况与自评报告和预算绩效指标进行核对，集体讨论后形成单位自评报告。</w:t>
      </w:r>
    </w:p>
    <w:p w:rsidR="008024BD" w:rsidRDefault="00C55684">
      <w:pPr>
        <w:autoSpaceDE w:val="0"/>
        <w:autoSpaceDN w:val="0"/>
        <w:adjustRightInd w:val="0"/>
        <w:spacing w:line="560" w:lineRule="exact"/>
        <w:ind w:firstLineChars="200" w:firstLine="640"/>
        <w:jc w:val="left"/>
        <w:rPr>
          <w:rFonts w:eastAsia="楷体_GB2312"/>
          <w:kern w:val="0"/>
          <w:sz w:val="32"/>
          <w:szCs w:val="32"/>
        </w:rPr>
      </w:pPr>
      <w:bookmarkStart w:id="184" w:name="_Toc27903_WPSOffice_Level2"/>
      <w:r>
        <w:rPr>
          <w:rFonts w:eastAsia="黑体"/>
          <w:kern w:val="0"/>
          <w:sz w:val="32"/>
          <w:szCs w:val="32"/>
        </w:rPr>
        <w:t>二、项目资金申报及使用情况</w:t>
      </w:r>
      <w:bookmarkEnd w:id="184"/>
    </w:p>
    <w:p w:rsidR="008024BD" w:rsidRDefault="00C55684">
      <w:pPr>
        <w:autoSpaceDE w:val="0"/>
        <w:autoSpaceDN w:val="0"/>
        <w:adjustRightInd w:val="0"/>
        <w:spacing w:line="560" w:lineRule="exact"/>
        <w:ind w:firstLineChars="200" w:firstLine="643"/>
        <w:jc w:val="left"/>
        <w:rPr>
          <w:rFonts w:eastAsia="楷体_GB2312"/>
          <w:kern w:val="0"/>
          <w:sz w:val="32"/>
          <w:szCs w:val="32"/>
        </w:rPr>
      </w:pPr>
      <w:r>
        <w:rPr>
          <w:rFonts w:ascii="楷体_GB2312" w:eastAsia="楷体_GB2312" w:hAnsi="楷体_GB2312" w:cs="楷体_GB2312" w:hint="eastAsia"/>
          <w:b/>
          <w:bCs/>
          <w:sz w:val="32"/>
          <w:szCs w:val="32"/>
        </w:rPr>
        <w:t>（一）项目资金申报及批复情况</w:t>
      </w:r>
    </w:p>
    <w:p w:rsidR="008024BD" w:rsidRPr="00C55684" w:rsidRDefault="00C55684">
      <w:pPr>
        <w:tabs>
          <w:tab w:val="left" w:pos="630"/>
        </w:tabs>
        <w:spacing w:line="560" w:lineRule="exact"/>
        <w:ind w:left="5"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根据年平均缴费人数及单位缴费基数及16%和8%的比例</w:t>
      </w:r>
      <w:r w:rsidRPr="00C55684">
        <w:rPr>
          <w:rFonts w:ascii="仿宋_GB2312" w:eastAsia="仿宋_GB2312" w:hAnsi="仿宋_GB2312" w:cs="仿宋_GB2312" w:hint="eastAsia"/>
          <w:sz w:val="32"/>
          <w:szCs w:val="32"/>
        </w:rPr>
        <w:lastRenderedPageBreak/>
        <w:t>测算，</w:t>
      </w:r>
      <w:r w:rsidRPr="00C55684">
        <w:rPr>
          <w:rFonts w:eastAsia="仿宋_GB2312" w:hint="eastAsia"/>
          <w:sz w:val="32"/>
          <w:szCs w:val="32"/>
        </w:rPr>
        <w:t>年单位缴纳养老保险及职业年金费用约</w:t>
      </w:r>
      <w:r w:rsidRPr="00C55684">
        <w:rPr>
          <w:rFonts w:eastAsia="仿宋_GB2312" w:hint="eastAsia"/>
          <w:sz w:val="32"/>
          <w:szCs w:val="32"/>
        </w:rPr>
        <w:t>1319</w:t>
      </w:r>
      <w:r w:rsidRPr="00C55684">
        <w:rPr>
          <w:rFonts w:eastAsia="仿宋_GB2312" w:hint="eastAsia"/>
          <w:sz w:val="32"/>
          <w:szCs w:val="32"/>
        </w:rPr>
        <w:t>万元。申请资金</w:t>
      </w:r>
      <w:r w:rsidRPr="00C55684">
        <w:rPr>
          <w:rFonts w:eastAsia="仿宋_GB2312" w:hint="eastAsia"/>
          <w:sz w:val="32"/>
          <w:szCs w:val="32"/>
        </w:rPr>
        <w:t>1319.00</w:t>
      </w:r>
      <w:r w:rsidRPr="00C55684">
        <w:rPr>
          <w:rFonts w:eastAsia="仿宋_GB2312" w:hint="eastAsia"/>
          <w:sz w:val="32"/>
          <w:szCs w:val="32"/>
        </w:rPr>
        <w:t>万元。</w:t>
      </w:r>
      <w:r w:rsidRPr="00C55684">
        <w:rPr>
          <w:rFonts w:ascii="仿宋_GB2312" w:eastAsia="仿宋_GB2312" w:hAnsi="仿宋_GB2312" w:cs="仿宋_GB2312" w:hint="eastAsia"/>
          <w:sz w:val="32"/>
          <w:szCs w:val="32"/>
        </w:rPr>
        <w:t>，实际批复</w:t>
      </w:r>
      <w:r w:rsidRPr="00C55684">
        <w:rPr>
          <w:rFonts w:hAnsi="仿宋_GB2312" w:cs="仿宋_GB2312" w:hint="eastAsia"/>
          <w:sz w:val="32"/>
          <w:szCs w:val="32"/>
        </w:rPr>
        <w:t>1284.01</w:t>
      </w:r>
      <w:r w:rsidRPr="00C55684">
        <w:rPr>
          <w:rFonts w:ascii="仿宋_GB2312" w:eastAsia="仿宋_GB2312" w:hAnsi="仿宋_GB2312" w:cs="仿宋_GB2312" w:hint="eastAsia"/>
          <w:sz w:val="32"/>
          <w:szCs w:val="32"/>
        </w:rPr>
        <w:t>万元。</w:t>
      </w:r>
    </w:p>
    <w:p w:rsidR="008024BD" w:rsidRDefault="00C55684">
      <w:pPr>
        <w:autoSpaceDE w:val="0"/>
        <w:autoSpaceDN w:val="0"/>
        <w:adjustRightIn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（二）资金计划、到位及使用情况</w:t>
      </w:r>
    </w:p>
    <w:p w:rsidR="008024BD" w:rsidRDefault="00C55684">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8024BD" w:rsidRPr="00C55684" w:rsidRDefault="00C55684">
      <w:pPr>
        <w:spacing w:line="560" w:lineRule="exact"/>
        <w:ind w:firstLineChars="200" w:firstLine="640"/>
        <w:rPr>
          <w:rFonts w:ascii="仿宋" w:eastAsia="仿宋" w:hAnsi="仿宋"/>
          <w:sz w:val="32"/>
          <w:szCs w:val="32"/>
        </w:rPr>
      </w:pPr>
      <w:r w:rsidRPr="00C55684">
        <w:rPr>
          <w:rFonts w:ascii="仿宋_GB2312" w:eastAsia="仿宋_GB2312" w:hAnsi="仿宋_GB2312" w:cs="仿宋_GB2312" w:hint="eastAsia"/>
          <w:kern w:val="0"/>
          <w:sz w:val="32"/>
          <w:szCs w:val="32"/>
        </w:rPr>
        <w:t>预算下达资金用于每月20日前按时足额缴纳在编职工养老保险及职业年金。</w:t>
      </w:r>
    </w:p>
    <w:p w:rsidR="008024BD" w:rsidRPr="00C55684" w:rsidRDefault="00C55684">
      <w:pPr>
        <w:spacing w:line="560" w:lineRule="exact"/>
        <w:ind w:firstLineChars="200" w:firstLine="640"/>
        <w:rPr>
          <w:rFonts w:eastAsia="楷体_GB2312"/>
          <w:kern w:val="0"/>
          <w:sz w:val="32"/>
          <w:szCs w:val="32"/>
        </w:rPr>
      </w:pPr>
      <w:r w:rsidRPr="00C55684">
        <w:rPr>
          <w:rFonts w:eastAsia="楷体_GB2312"/>
          <w:kern w:val="0"/>
          <w:sz w:val="32"/>
          <w:szCs w:val="32"/>
        </w:rPr>
        <w:t>2</w:t>
      </w:r>
      <w:r w:rsidRPr="00C55684">
        <w:rPr>
          <w:rFonts w:eastAsia="楷体_GB2312"/>
          <w:kern w:val="0"/>
          <w:sz w:val="32"/>
          <w:szCs w:val="32"/>
        </w:rPr>
        <w:t>．资金到位</w:t>
      </w:r>
    </w:p>
    <w:p w:rsidR="008024BD" w:rsidRPr="00C55684" w:rsidRDefault="00C55684">
      <w:pPr>
        <w:spacing w:line="560" w:lineRule="exact"/>
        <w:ind w:firstLineChars="200" w:firstLine="640"/>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该项资金于2022年1月由市财政局随当年预算全部下达到我院，共1284.01万元。</w:t>
      </w:r>
    </w:p>
    <w:p w:rsidR="008024BD" w:rsidRPr="00C55684" w:rsidRDefault="00C55684">
      <w:pPr>
        <w:autoSpaceDE w:val="0"/>
        <w:autoSpaceDN w:val="0"/>
        <w:adjustRightInd w:val="0"/>
        <w:spacing w:line="560" w:lineRule="exact"/>
        <w:ind w:firstLineChars="200" w:firstLine="640"/>
        <w:jc w:val="left"/>
        <w:rPr>
          <w:rFonts w:eastAsia="楷体_GB2312"/>
          <w:kern w:val="0"/>
          <w:sz w:val="32"/>
          <w:szCs w:val="32"/>
        </w:rPr>
      </w:pPr>
      <w:r w:rsidRPr="00C55684">
        <w:rPr>
          <w:rFonts w:eastAsia="楷体_GB2312"/>
          <w:kern w:val="0"/>
          <w:sz w:val="32"/>
          <w:szCs w:val="32"/>
        </w:rPr>
        <w:t>3</w:t>
      </w:r>
      <w:r w:rsidRPr="00C55684">
        <w:rPr>
          <w:rFonts w:eastAsia="楷体_GB2312"/>
          <w:kern w:val="0"/>
          <w:sz w:val="32"/>
          <w:szCs w:val="32"/>
        </w:rPr>
        <w:t>．资金使用</w:t>
      </w:r>
    </w:p>
    <w:p w:rsidR="008024BD" w:rsidRPr="00C55684" w:rsidRDefault="00C55684">
      <w:pPr>
        <w:autoSpaceDE w:val="0"/>
        <w:autoSpaceDN w:val="0"/>
        <w:adjustRightInd w:val="0"/>
        <w:spacing w:line="560" w:lineRule="exact"/>
        <w:ind w:firstLineChars="200" w:firstLine="640"/>
        <w:jc w:val="left"/>
        <w:rPr>
          <w:rFonts w:ascii="仿宋" w:eastAsia="仿宋" w:hAnsi="仿宋"/>
          <w:sz w:val="32"/>
          <w:szCs w:val="32"/>
        </w:rPr>
      </w:pPr>
      <w:r w:rsidRPr="00C55684">
        <w:rPr>
          <w:rFonts w:ascii="仿宋_GB2312" w:eastAsia="仿宋_GB2312" w:hAnsi="仿宋_GB2312" w:cs="仿宋_GB2312" w:hint="eastAsia"/>
          <w:kern w:val="0"/>
          <w:sz w:val="32"/>
          <w:szCs w:val="32"/>
        </w:rPr>
        <w:t>2022年每月用于职工养老保险和职业年金的缴纳，2022年10月前全部执行完毕，执行率100%。</w:t>
      </w:r>
    </w:p>
    <w:p w:rsidR="008024BD" w:rsidRPr="00C55684" w:rsidRDefault="00C55684">
      <w:pPr>
        <w:autoSpaceDE w:val="0"/>
        <w:autoSpaceDN w:val="0"/>
        <w:adjustRightInd w:val="0"/>
        <w:spacing w:line="560" w:lineRule="exact"/>
        <w:ind w:firstLineChars="200" w:firstLine="643"/>
        <w:jc w:val="left"/>
        <w:rPr>
          <w:rFonts w:eastAsia="楷体_GB2312"/>
          <w:kern w:val="0"/>
          <w:sz w:val="32"/>
          <w:szCs w:val="32"/>
        </w:rPr>
      </w:pPr>
      <w:r w:rsidRPr="00C55684">
        <w:rPr>
          <w:rFonts w:ascii="楷体_GB2312" w:eastAsia="楷体_GB2312" w:hAnsi="楷体_GB2312" w:cs="楷体_GB2312" w:hint="eastAsia"/>
          <w:b/>
          <w:bCs/>
          <w:sz w:val="32"/>
          <w:szCs w:val="32"/>
        </w:rPr>
        <w:t>（三）项目财务管理情况</w:t>
      </w:r>
    </w:p>
    <w:p w:rsidR="008024BD" w:rsidRPr="00C55684" w:rsidRDefault="00C55684">
      <w:pPr>
        <w:spacing w:line="560" w:lineRule="exact"/>
        <w:ind w:firstLineChars="200" w:firstLine="640"/>
        <w:rPr>
          <w:rFonts w:ascii="仿宋_GB2312" w:eastAsia="仿宋_GB2312" w:hAnsi="仿宋_GB2312" w:cs="仿宋_GB2312"/>
          <w:sz w:val="32"/>
          <w:szCs w:val="32"/>
        </w:rPr>
      </w:pPr>
      <w:bookmarkStart w:id="185" w:name="_Toc7539_WPSOffice_Level2"/>
      <w:r w:rsidRPr="00C55684">
        <w:rPr>
          <w:rFonts w:ascii="仿宋_GB2312" w:eastAsia="仿宋_GB2312" w:hAnsi="仿宋_GB2312" w:cs="仿宋_GB2312" w:hint="eastAsia"/>
          <w:sz w:val="32"/>
          <w:szCs w:val="32"/>
        </w:rPr>
        <w:t>我院财务制度健全，严格执行财务管理制度，账务处理及时、规范，会计核算规范；对专项资金专人专账管理，严格按批复范围和用途使用。</w:t>
      </w:r>
    </w:p>
    <w:p w:rsidR="008024BD" w:rsidRDefault="00C55684">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三、项目实施及管理情况</w:t>
      </w:r>
      <w:bookmarkEnd w:id="185"/>
    </w:p>
    <w:p w:rsidR="008024BD" w:rsidRDefault="00C55684">
      <w:pPr>
        <w:autoSpaceDE w:val="0"/>
        <w:autoSpaceDN w:val="0"/>
        <w:adjustRightIn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（一）项目组织架构及实施流程</w:t>
      </w:r>
    </w:p>
    <w:p w:rsidR="008024BD" w:rsidRPr="00C55684" w:rsidRDefault="00C55684">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该项资金主管部门为我院运管部和财务科，运管部主要负责资金的计划制定和审批，财务科负责款项的支付和账务处理；项目的具体实施由人力资源部负责。</w:t>
      </w:r>
    </w:p>
    <w:p w:rsidR="008024BD" w:rsidRPr="00C55684" w:rsidRDefault="00C55684">
      <w:pPr>
        <w:autoSpaceDE w:val="0"/>
        <w:autoSpaceDN w:val="0"/>
        <w:adjustRightInd w:val="0"/>
        <w:spacing w:line="560" w:lineRule="exact"/>
        <w:ind w:firstLineChars="200" w:firstLine="643"/>
        <w:jc w:val="left"/>
        <w:rPr>
          <w:rFonts w:ascii="楷体_GB2312" w:eastAsia="楷体_GB2312" w:hAnsi="楷体_GB2312" w:cs="楷体_GB2312"/>
          <w:b/>
          <w:bCs/>
          <w:sz w:val="32"/>
          <w:szCs w:val="32"/>
        </w:rPr>
      </w:pPr>
      <w:r w:rsidRPr="00C55684">
        <w:rPr>
          <w:rFonts w:ascii="楷体_GB2312" w:eastAsia="楷体_GB2312" w:hAnsi="楷体_GB2312" w:cs="楷体_GB2312" w:hint="eastAsia"/>
          <w:b/>
          <w:bCs/>
          <w:sz w:val="32"/>
          <w:szCs w:val="32"/>
        </w:rPr>
        <w:t>（二）项目管理情况</w:t>
      </w:r>
    </w:p>
    <w:p w:rsidR="008024BD" w:rsidRPr="00C55684" w:rsidRDefault="00C55684">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该项资金由人事部门和财务部门专人负责管理，严格按规定用于职工养老保险和职业年金缴纳，每月20日前按时缴</w:t>
      </w:r>
      <w:r w:rsidRPr="00C55684">
        <w:rPr>
          <w:rFonts w:ascii="仿宋_GB2312" w:eastAsia="仿宋_GB2312" w:hAnsi="仿宋_GB2312" w:cs="仿宋_GB2312" w:hint="eastAsia"/>
          <w:kern w:val="0"/>
          <w:sz w:val="32"/>
          <w:szCs w:val="32"/>
        </w:rPr>
        <w:lastRenderedPageBreak/>
        <w:t>纳，并作好账务处理。</w:t>
      </w:r>
    </w:p>
    <w:p w:rsidR="008024BD" w:rsidRDefault="00C55684">
      <w:pPr>
        <w:autoSpaceDE w:val="0"/>
        <w:autoSpaceDN w:val="0"/>
        <w:adjustRightInd w:val="0"/>
        <w:spacing w:line="56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（三）项目监管情况</w:t>
      </w:r>
    </w:p>
    <w:p w:rsidR="008024BD" w:rsidRPr="00C55684" w:rsidRDefault="00C55684">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医院纪检科、审计科，对该项目进行全程监督管控，制定审批制度，严格按规定的范围和标准使用补助。</w:t>
      </w:r>
    </w:p>
    <w:p w:rsidR="008024BD" w:rsidRPr="00C55684" w:rsidRDefault="00C55684">
      <w:pPr>
        <w:autoSpaceDE w:val="0"/>
        <w:autoSpaceDN w:val="0"/>
        <w:adjustRightInd w:val="0"/>
        <w:spacing w:line="560" w:lineRule="exact"/>
        <w:ind w:firstLineChars="200" w:firstLine="640"/>
        <w:jc w:val="left"/>
        <w:rPr>
          <w:rFonts w:eastAsia="黑体"/>
          <w:kern w:val="0"/>
          <w:sz w:val="32"/>
          <w:szCs w:val="32"/>
        </w:rPr>
      </w:pPr>
      <w:bookmarkStart w:id="186" w:name="_Toc29457_WPSOffice_Level2"/>
      <w:r w:rsidRPr="00C55684">
        <w:rPr>
          <w:rFonts w:eastAsia="黑体"/>
          <w:kern w:val="0"/>
          <w:sz w:val="32"/>
          <w:szCs w:val="32"/>
        </w:rPr>
        <w:t>四、项目绩效情况</w:t>
      </w:r>
      <w:bookmarkEnd w:id="186"/>
    </w:p>
    <w:p w:rsidR="008024BD" w:rsidRPr="00C55684" w:rsidRDefault="00C55684">
      <w:pPr>
        <w:adjustRightInd w:val="0"/>
        <w:snapToGrid w:val="0"/>
        <w:spacing w:line="560" w:lineRule="exact"/>
        <w:ind w:firstLine="720"/>
        <w:rPr>
          <w:rFonts w:ascii="楷体_GB2312" w:eastAsia="楷体_GB2312" w:hAnsi="宋体"/>
          <w:b/>
          <w:sz w:val="32"/>
          <w:szCs w:val="32"/>
          <w:lang w:val="zh-CN"/>
        </w:rPr>
      </w:pPr>
      <w:r w:rsidRPr="00C55684">
        <w:rPr>
          <w:rFonts w:ascii="楷体_GB2312" w:eastAsia="楷体_GB2312" w:hAnsi="宋体" w:hint="eastAsia"/>
          <w:b/>
          <w:sz w:val="32"/>
          <w:szCs w:val="32"/>
          <w:lang w:val="zh-CN"/>
        </w:rPr>
        <w:t>（一）项目完成情况</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kern w:val="0"/>
          <w:sz w:val="32"/>
          <w:szCs w:val="32"/>
        </w:rPr>
        <w:t>2022年养老保险改革补助每月20日前缴纳，在2022年10月前全部执行完毕，执行率100%</w:t>
      </w:r>
      <w:r w:rsidRPr="00C55684">
        <w:rPr>
          <w:rFonts w:ascii="仿宋_GB2312" w:eastAsia="仿宋_GB2312" w:hAnsi="仿宋_GB2312" w:cs="仿宋_GB2312" w:hint="eastAsia"/>
          <w:sz w:val="32"/>
          <w:szCs w:val="32"/>
        </w:rPr>
        <w:t>。</w:t>
      </w:r>
    </w:p>
    <w:p w:rsidR="008024BD" w:rsidRPr="00C55684" w:rsidRDefault="00C55684">
      <w:pPr>
        <w:adjustRightInd w:val="0"/>
        <w:snapToGrid w:val="0"/>
        <w:spacing w:line="560" w:lineRule="exact"/>
        <w:ind w:firstLine="720"/>
        <w:rPr>
          <w:rFonts w:ascii="楷体_GB2312" w:eastAsia="楷体_GB2312" w:hAnsi="宋体"/>
          <w:b/>
          <w:sz w:val="32"/>
          <w:szCs w:val="32"/>
          <w:lang w:val="zh-CN"/>
        </w:rPr>
      </w:pPr>
      <w:r w:rsidRPr="00C55684">
        <w:rPr>
          <w:rFonts w:ascii="楷体_GB2312" w:eastAsia="楷体_GB2312" w:hAnsi="宋体" w:hint="eastAsia"/>
          <w:b/>
          <w:sz w:val="32"/>
          <w:szCs w:val="32"/>
          <w:lang w:val="zh-CN"/>
        </w:rPr>
        <w:t>（二）项目效益情况</w:t>
      </w:r>
    </w:p>
    <w:p w:rsidR="008024BD" w:rsidRPr="00C55684" w:rsidRDefault="00C55684">
      <w:pPr>
        <w:autoSpaceDE w:val="0"/>
        <w:autoSpaceDN w:val="0"/>
        <w:adjustRightInd w:val="0"/>
        <w:spacing w:line="560" w:lineRule="exact"/>
        <w:ind w:firstLineChars="200" w:firstLine="640"/>
        <w:jc w:val="left"/>
        <w:rPr>
          <w:rFonts w:ascii="仿宋_GB2312" w:eastAsia="仿宋_GB2312" w:hAnsi="仿宋_GB2312" w:cs="仿宋_GB2312"/>
          <w:kern w:val="0"/>
          <w:sz w:val="32"/>
          <w:szCs w:val="32"/>
        </w:rPr>
      </w:pPr>
      <w:r w:rsidRPr="00C55684">
        <w:rPr>
          <w:rFonts w:ascii="仿宋_GB2312" w:eastAsia="仿宋_GB2312" w:hAnsi="仿宋_GB2312" w:cs="仿宋_GB2312" w:hint="eastAsia"/>
          <w:kern w:val="0"/>
          <w:sz w:val="32"/>
          <w:szCs w:val="32"/>
        </w:rPr>
        <w:t>保证在编职工参保工作完成，职工参保人员覆盖率100%，职工满意度100%，对医院落实国家养老保险制度改革提供了很大的支持，也有利于医院人才的引进工作，也参生了较好的社会效益。</w:t>
      </w:r>
    </w:p>
    <w:p w:rsidR="008024BD" w:rsidRPr="00C55684" w:rsidRDefault="00C55684">
      <w:pPr>
        <w:autoSpaceDE w:val="0"/>
        <w:autoSpaceDN w:val="0"/>
        <w:adjustRightInd w:val="0"/>
        <w:spacing w:line="560" w:lineRule="exact"/>
        <w:ind w:firstLineChars="200" w:firstLine="640"/>
        <w:jc w:val="left"/>
        <w:rPr>
          <w:rFonts w:eastAsia="黑体"/>
          <w:kern w:val="0"/>
          <w:sz w:val="32"/>
          <w:szCs w:val="32"/>
        </w:rPr>
      </w:pPr>
      <w:bookmarkStart w:id="187" w:name="_Toc183_WPSOffice_Level2"/>
      <w:r w:rsidRPr="00C55684">
        <w:rPr>
          <w:rFonts w:eastAsia="黑体"/>
          <w:kern w:val="0"/>
          <w:sz w:val="32"/>
          <w:szCs w:val="32"/>
        </w:rPr>
        <w:t>五、评价结论及建议</w:t>
      </w:r>
      <w:bookmarkEnd w:id="187"/>
    </w:p>
    <w:p w:rsidR="008024BD" w:rsidRPr="00C55684" w:rsidRDefault="00C55684">
      <w:pPr>
        <w:spacing w:line="560" w:lineRule="exact"/>
        <w:ind w:firstLineChars="200" w:firstLine="643"/>
        <w:rPr>
          <w:rFonts w:ascii="仿宋_GB2312" w:eastAsia="仿宋_GB2312" w:hAnsi="仿宋_GB2312" w:cs="仿宋_GB2312"/>
          <w:sz w:val="32"/>
          <w:szCs w:val="32"/>
        </w:rPr>
      </w:pPr>
      <w:r w:rsidRPr="00C55684">
        <w:rPr>
          <w:rFonts w:ascii="楷体_GB2312" w:eastAsia="楷体_GB2312" w:hAnsi="宋体" w:hint="eastAsia"/>
          <w:b/>
          <w:sz w:val="32"/>
          <w:szCs w:val="32"/>
          <w:lang w:val="zh-CN"/>
        </w:rPr>
        <w:t>（一）评价结论</w:t>
      </w:r>
    </w:p>
    <w:p w:rsidR="008024BD" w:rsidRPr="00C55684" w:rsidRDefault="00C55684">
      <w:pPr>
        <w:spacing w:line="560" w:lineRule="exact"/>
        <w:ind w:firstLineChars="200" w:firstLine="640"/>
        <w:rPr>
          <w:rFonts w:ascii="仿宋_GB2312" w:eastAsia="仿宋_GB2312" w:hAnsi="仿宋_GB2312" w:cs="仿宋_GB2312"/>
          <w:sz w:val="32"/>
          <w:szCs w:val="32"/>
        </w:rPr>
      </w:pPr>
      <w:r w:rsidRPr="00C55684">
        <w:rPr>
          <w:rFonts w:ascii="仿宋_GB2312" w:eastAsia="仿宋_GB2312" w:hAnsi="仿宋_GB2312" w:cs="仿宋_GB2312" w:hint="eastAsia"/>
          <w:sz w:val="32"/>
          <w:szCs w:val="32"/>
        </w:rPr>
        <w:t>在项目批复额度和范围内，充分有效的使用了补助资金，对医院社保缴费进行了补偿，保障了医院的运转，对稳定人才队伍具有积极作用，为医院更好的服务患者，打造区域医疗中心提供了支持和帮助。</w:t>
      </w:r>
    </w:p>
    <w:p w:rsidR="008024BD" w:rsidRPr="00C55684" w:rsidRDefault="00C55684">
      <w:pPr>
        <w:numPr>
          <w:ilvl w:val="0"/>
          <w:numId w:val="10"/>
        </w:numPr>
        <w:spacing w:line="560" w:lineRule="exact"/>
        <w:ind w:firstLineChars="200" w:firstLine="643"/>
      </w:pPr>
      <w:r w:rsidRPr="00C55684">
        <w:rPr>
          <w:rFonts w:ascii="楷体_GB2312" w:eastAsia="楷体_GB2312" w:hAnsi="宋体" w:hint="eastAsia"/>
          <w:b/>
          <w:sz w:val="32"/>
          <w:szCs w:val="32"/>
          <w:lang w:val="zh-CN"/>
        </w:rPr>
        <w:t>存在问题</w:t>
      </w:r>
    </w:p>
    <w:p w:rsidR="008024BD" w:rsidRPr="00C55684" w:rsidRDefault="00C55684">
      <w:pPr>
        <w:spacing w:line="560" w:lineRule="exact"/>
        <w:ind w:firstLineChars="200" w:firstLine="640"/>
        <w:rPr>
          <w:rFonts w:ascii="仿宋_GB2312" w:eastAsia="仿宋_GB2312" w:hAnsi="宋体" w:cs="宋体"/>
          <w:kern w:val="0"/>
          <w:sz w:val="32"/>
          <w:szCs w:val="32"/>
        </w:rPr>
      </w:pPr>
      <w:r w:rsidRPr="00C55684">
        <w:rPr>
          <w:rFonts w:ascii="仿宋_GB2312" w:eastAsia="仿宋_GB2312" w:hAnsi="宋体" w:cs="宋体" w:hint="eastAsia"/>
          <w:kern w:val="0"/>
          <w:sz w:val="32"/>
          <w:szCs w:val="32"/>
          <w:lang w:val="zh-CN"/>
        </w:rPr>
        <w:t>相关职能部门没有正确认识预算绩效管理的机制</w:t>
      </w:r>
      <w:r w:rsidRPr="00C55684">
        <w:rPr>
          <w:rFonts w:ascii="仿宋_GB2312" w:eastAsia="仿宋_GB2312" w:hAnsi="宋体" w:cs="宋体" w:hint="eastAsia"/>
          <w:kern w:val="0"/>
          <w:sz w:val="32"/>
          <w:szCs w:val="32"/>
        </w:rPr>
        <w:t>,执行力度有待加强</w:t>
      </w:r>
      <w:r w:rsidRPr="00C55684">
        <w:rPr>
          <w:rFonts w:ascii="仿宋_GB2312" w:eastAsia="仿宋_GB2312" w:hAnsi="宋体" w:cs="宋体" w:hint="eastAsia"/>
          <w:kern w:val="0"/>
          <w:sz w:val="32"/>
          <w:szCs w:val="32"/>
          <w:lang w:val="zh-CN"/>
        </w:rPr>
        <w:t>；资金支付流程需进一步优化。</w:t>
      </w:r>
    </w:p>
    <w:p w:rsidR="008024BD" w:rsidRPr="00C55684" w:rsidRDefault="00C55684">
      <w:pPr>
        <w:spacing w:line="560" w:lineRule="exact"/>
        <w:ind w:firstLineChars="200" w:firstLine="643"/>
        <w:rPr>
          <w:rFonts w:ascii="楷体_GB2312" w:eastAsia="楷体_GB2312" w:hAnsi="宋体"/>
          <w:b/>
          <w:sz w:val="32"/>
          <w:szCs w:val="32"/>
          <w:lang w:val="zh-CN"/>
        </w:rPr>
      </w:pPr>
      <w:r w:rsidRPr="00C55684">
        <w:rPr>
          <w:rFonts w:ascii="楷体_GB2312" w:eastAsia="楷体_GB2312" w:hAnsi="宋体" w:hint="eastAsia"/>
          <w:b/>
          <w:sz w:val="32"/>
          <w:szCs w:val="32"/>
          <w:lang w:val="zh-CN"/>
        </w:rPr>
        <w:t>（三）相关建议</w:t>
      </w:r>
    </w:p>
    <w:p w:rsidR="008024BD" w:rsidRPr="00C55684" w:rsidRDefault="00C55684" w:rsidP="00BB5F01">
      <w:pPr>
        <w:pStyle w:val="a0"/>
        <w:spacing w:before="93" w:line="560" w:lineRule="exact"/>
        <w:ind w:firstLineChars="200" w:firstLine="640"/>
        <w:rPr>
          <w:rFonts w:hAnsi="宋体" w:cs="宋体"/>
          <w:sz w:val="32"/>
          <w:szCs w:val="32"/>
        </w:rPr>
      </w:pPr>
      <w:r w:rsidRPr="00C55684">
        <w:rPr>
          <w:rFonts w:hAnsi="仿宋_GB2312" w:cs="仿宋_GB2312" w:hint="eastAsia"/>
          <w:sz w:val="32"/>
          <w:szCs w:val="32"/>
        </w:rPr>
        <w:t>今后仍要严格遵守项目资金管理的规章制度，严格要求，</w:t>
      </w:r>
      <w:r w:rsidRPr="00C55684">
        <w:rPr>
          <w:rFonts w:hAnsi="仿宋_GB2312" w:cs="仿宋_GB2312" w:hint="eastAsia"/>
          <w:sz w:val="32"/>
          <w:szCs w:val="32"/>
        </w:rPr>
        <w:lastRenderedPageBreak/>
        <w:t>并按市财政局的要求，加强学习，提高预算管理、支付管理和绩效评价水平。</w:t>
      </w:r>
    </w:p>
    <w:p w:rsidR="008024BD" w:rsidRDefault="008024BD">
      <w:pPr>
        <w:spacing w:line="560" w:lineRule="exact"/>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bookmarkStart w:id="188" w:name="_Toc21177"/>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8024BD">
      <w:pPr>
        <w:spacing w:line="560" w:lineRule="exact"/>
        <w:jc w:val="center"/>
        <w:outlineLvl w:val="0"/>
        <w:rPr>
          <w:rFonts w:ascii="黑体" w:eastAsia="黑体" w:hAnsi="黑体"/>
          <w:sz w:val="44"/>
          <w:szCs w:val="44"/>
        </w:rPr>
      </w:pPr>
    </w:p>
    <w:p w:rsidR="008024BD" w:rsidRDefault="00C55684">
      <w:pPr>
        <w:spacing w:line="56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189" w:name="_Toc15396619"/>
      <w:bookmarkEnd w:id="115"/>
      <w:bookmarkEnd w:id="134"/>
      <w:bookmarkEnd w:id="135"/>
      <w:bookmarkEnd w:id="136"/>
      <w:bookmarkEnd w:id="188"/>
    </w:p>
    <w:p w:rsidR="008024BD" w:rsidRDefault="00C55684">
      <w:pPr>
        <w:pStyle w:val="2"/>
        <w:spacing w:line="560" w:lineRule="exact"/>
        <w:rPr>
          <w:rFonts w:ascii="仿宋" w:eastAsia="仿宋" w:hAnsi="仿宋"/>
        </w:rPr>
      </w:pPr>
      <w:bookmarkStart w:id="190" w:name="_Toc336"/>
      <w:bookmarkStart w:id="191" w:name="_Toc3767_WPSOffice_Level2"/>
      <w:bookmarkStart w:id="192" w:name="_Toc3606"/>
      <w:r>
        <w:rPr>
          <w:rFonts w:ascii="仿宋" w:eastAsia="仿宋" w:hAnsi="仿宋" w:hint="eastAsia"/>
          <w:b w:val="0"/>
        </w:rPr>
        <w:t>一、收</w:t>
      </w:r>
      <w:r>
        <w:rPr>
          <w:rStyle w:val="22"/>
          <w:rFonts w:ascii="仿宋" w:eastAsia="仿宋" w:hAnsi="仿宋" w:hint="eastAsia"/>
        </w:rPr>
        <w:t>入支出决算总表</w:t>
      </w:r>
      <w:bookmarkEnd w:id="189"/>
      <w:bookmarkEnd w:id="190"/>
      <w:bookmarkEnd w:id="191"/>
      <w:bookmarkEnd w:id="192"/>
    </w:p>
    <w:p w:rsidR="008024BD" w:rsidRDefault="00C55684">
      <w:pPr>
        <w:pStyle w:val="2"/>
        <w:spacing w:line="560" w:lineRule="exact"/>
        <w:rPr>
          <w:rFonts w:ascii="仿宋" w:eastAsia="仿宋" w:hAnsi="仿宋"/>
        </w:rPr>
      </w:pPr>
      <w:bookmarkStart w:id="193" w:name="_Toc15396620"/>
      <w:bookmarkStart w:id="194" w:name="_Toc18156"/>
      <w:bookmarkStart w:id="195" w:name="_Toc19932_WPSOffice_Level2"/>
      <w:bookmarkStart w:id="196" w:name="_Toc14295"/>
      <w:r>
        <w:rPr>
          <w:rFonts w:ascii="仿宋" w:eastAsia="仿宋" w:hAnsi="仿宋" w:hint="eastAsia"/>
          <w:b w:val="0"/>
        </w:rPr>
        <w:t>二、收</w:t>
      </w:r>
      <w:r>
        <w:rPr>
          <w:rStyle w:val="22"/>
          <w:rFonts w:ascii="仿宋" w:eastAsia="仿宋" w:hAnsi="仿宋" w:hint="eastAsia"/>
        </w:rPr>
        <w:t>入决算表</w:t>
      </w:r>
      <w:bookmarkEnd w:id="193"/>
      <w:bookmarkEnd w:id="194"/>
      <w:bookmarkEnd w:id="195"/>
      <w:bookmarkEnd w:id="196"/>
    </w:p>
    <w:p w:rsidR="008024BD" w:rsidRDefault="00C55684">
      <w:pPr>
        <w:pStyle w:val="2"/>
        <w:spacing w:line="560" w:lineRule="exact"/>
        <w:rPr>
          <w:rFonts w:ascii="仿宋" w:eastAsia="仿宋" w:hAnsi="仿宋"/>
        </w:rPr>
      </w:pPr>
      <w:bookmarkStart w:id="197" w:name="_Toc15396621"/>
      <w:bookmarkStart w:id="198" w:name="_Toc5458"/>
      <w:bookmarkStart w:id="199" w:name="_Toc1503_WPSOffice_Level2"/>
      <w:bookmarkStart w:id="200" w:name="_Toc15498"/>
      <w:r>
        <w:rPr>
          <w:rStyle w:val="22"/>
          <w:rFonts w:ascii="仿宋" w:eastAsia="仿宋" w:hAnsi="仿宋" w:hint="eastAsia"/>
        </w:rPr>
        <w:t>三、</w:t>
      </w:r>
      <w:r>
        <w:rPr>
          <w:rFonts w:ascii="仿宋" w:eastAsia="仿宋" w:hAnsi="仿宋" w:hint="eastAsia"/>
          <w:b w:val="0"/>
        </w:rPr>
        <w:t>支</w:t>
      </w:r>
      <w:r>
        <w:rPr>
          <w:rStyle w:val="22"/>
          <w:rFonts w:ascii="仿宋" w:eastAsia="仿宋" w:hAnsi="仿宋" w:hint="eastAsia"/>
        </w:rPr>
        <w:t>出决算表</w:t>
      </w:r>
      <w:bookmarkEnd w:id="197"/>
      <w:bookmarkEnd w:id="198"/>
      <w:bookmarkEnd w:id="199"/>
      <w:bookmarkEnd w:id="200"/>
    </w:p>
    <w:p w:rsidR="008024BD" w:rsidRDefault="00C55684">
      <w:pPr>
        <w:pStyle w:val="2"/>
        <w:spacing w:line="560" w:lineRule="exact"/>
        <w:rPr>
          <w:rFonts w:ascii="仿宋" w:eastAsia="仿宋" w:hAnsi="仿宋"/>
          <w:b w:val="0"/>
        </w:rPr>
      </w:pPr>
      <w:bookmarkStart w:id="201" w:name="_Toc15396622"/>
      <w:bookmarkStart w:id="202" w:name="_Toc2078"/>
      <w:bookmarkStart w:id="203" w:name="_Toc11760_WPSOffice_Level2"/>
      <w:bookmarkStart w:id="204" w:name="_Toc17507"/>
      <w:r>
        <w:rPr>
          <w:rStyle w:val="22"/>
          <w:rFonts w:ascii="仿宋" w:eastAsia="仿宋" w:hAnsi="仿宋" w:hint="eastAsia"/>
        </w:rPr>
        <w:t>四、</w:t>
      </w:r>
      <w:r>
        <w:rPr>
          <w:rFonts w:ascii="仿宋" w:eastAsia="仿宋" w:hAnsi="仿宋" w:hint="eastAsia"/>
          <w:b w:val="0"/>
        </w:rPr>
        <w:t>财</w:t>
      </w:r>
      <w:r>
        <w:rPr>
          <w:rStyle w:val="22"/>
          <w:rFonts w:ascii="仿宋" w:eastAsia="仿宋" w:hAnsi="仿宋" w:hint="eastAsia"/>
        </w:rPr>
        <w:t>政拨款收入支出决算总表</w:t>
      </w:r>
      <w:bookmarkEnd w:id="201"/>
      <w:bookmarkEnd w:id="202"/>
      <w:bookmarkEnd w:id="203"/>
      <w:bookmarkEnd w:id="204"/>
    </w:p>
    <w:p w:rsidR="008024BD" w:rsidRDefault="00C55684">
      <w:pPr>
        <w:pStyle w:val="2"/>
        <w:spacing w:line="560" w:lineRule="exact"/>
        <w:rPr>
          <w:rStyle w:val="22"/>
          <w:rFonts w:ascii="仿宋" w:eastAsia="仿宋" w:hAnsi="仿宋"/>
        </w:rPr>
      </w:pPr>
      <w:bookmarkStart w:id="205" w:name="_Toc15396623"/>
      <w:bookmarkStart w:id="206" w:name="_Toc8878"/>
      <w:bookmarkStart w:id="207" w:name="_Toc29722_WPSOffice_Level2"/>
      <w:bookmarkStart w:id="208" w:name="_Toc16109"/>
      <w:r>
        <w:rPr>
          <w:rStyle w:val="22"/>
          <w:rFonts w:ascii="仿宋" w:eastAsia="仿宋" w:hAnsi="仿宋" w:hint="eastAsia"/>
        </w:rPr>
        <w:t>五、</w:t>
      </w:r>
      <w:r>
        <w:rPr>
          <w:rFonts w:ascii="仿宋" w:eastAsia="仿宋" w:hAnsi="仿宋" w:hint="eastAsia"/>
          <w:b w:val="0"/>
        </w:rPr>
        <w:t>财</w:t>
      </w:r>
      <w:r>
        <w:rPr>
          <w:rStyle w:val="22"/>
          <w:rFonts w:ascii="仿宋" w:eastAsia="仿宋" w:hAnsi="仿宋" w:hint="eastAsia"/>
        </w:rPr>
        <w:t>政拨款支出决算明细表</w:t>
      </w:r>
      <w:bookmarkStart w:id="209" w:name="_Toc15396624"/>
      <w:bookmarkEnd w:id="205"/>
      <w:bookmarkEnd w:id="206"/>
      <w:bookmarkEnd w:id="207"/>
      <w:bookmarkEnd w:id="208"/>
    </w:p>
    <w:p w:rsidR="008024BD" w:rsidRDefault="00C55684">
      <w:pPr>
        <w:pStyle w:val="2"/>
        <w:spacing w:line="560" w:lineRule="exact"/>
        <w:rPr>
          <w:rFonts w:ascii="仿宋" w:eastAsia="仿宋" w:hAnsi="仿宋"/>
        </w:rPr>
      </w:pPr>
      <w:bookmarkStart w:id="210" w:name="_Toc4945"/>
      <w:bookmarkStart w:id="211" w:name="_Toc6778_WPSOffice_Level2"/>
      <w:bookmarkStart w:id="212" w:name="_Toc22268"/>
      <w:r>
        <w:rPr>
          <w:rStyle w:val="22"/>
          <w:rFonts w:ascii="仿宋" w:eastAsia="仿宋" w:hAnsi="仿宋" w:hint="eastAsia"/>
        </w:rPr>
        <w:t>六、</w:t>
      </w:r>
      <w:r>
        <w:rPr>
          <w:rFonts w:ascii="仿宋" w:eastAsia="仿宋" w:hAnsi="仿宋" w:hint="eastAsia"/>
          <w:b w:val="0"/>
        </w:rPr>
        <w:t>一</w:t>
      </w:r>
      <w:r>
        <w:rPr>
          <w:rStyle w:val="22"/>
          <w:rFonts w:ascii="仿宋" w:eastAsia="仿宋" w:hAnsi="仿宋" w:hint="eastAsia"/>
        </w:rPr>
        <w:t>般公共预算财政拨款支出决算表</w:t>
      </w:r>
      <w:bookmarkEnd w:id="209"/>
      <w:bookmarkEnd w:id="210"/>
      <w:bookmarkEnd w:id="211"/>
      <w:bookmarkEnd w:id="212"/>
    </w:p>
    <w:p w:rsidR="008024BD" w:rsidRDefault="00C55684">
      <w:pPr>
        <w:pStyle w:val="2"/>
        <w:spacing w:line="560" w:lineRule="exact"/>
        <w:rPr>
          <w:rFonts w:ascii="仿宋" w:eastAsia="仿宋" w:hAnsi="仿宋"/>
        </w:rPr>
      </w:pPr>
      <w:bookmarkStart w:id="213" w:name="_Toc15396625"/>
      <w:bookmarkStart w:id="214" w:name="_Toc29921"/>
      <w:bookmarkStart w:id="215" w:name="_Toc24823_WPSOffice_Level2"/>
      <w:bookmarkStart w:id="216" w:name="_Toc32251"/>
      <w:r>
        <w:rPr>
          <w:rStyle w:val="22"/>
          <w:rFonts w:ascii="仿宋" w:eastAsia="仿宋" w:hAnsi="仿宋" w:hint="eastAsia"/>
        </w:rPr>
        <w:t>七、</w:t>
      </w:r>
      <w:r>
        <w:rPr>
          <w:rFonts w:ascii="仿宋" w:eastAsia="仿宋" w:hAnsi="仿宋" w:hint="eastAsia"/>
          <w:b w:val="0"/>
        </w:rPr>
        <w:t>一</w:t>
      </w:r>
      <w:r>
        <w:rPr>
          <w:rStyle w:val="22"/>
          <w:rFonts w:ascii="仿宋" w:eastAsia="仿宋" w:hAnsi="仿宋" w:hint="eastAsia"/>
        </w:rPr>
        <w:t>般公共预算财政拨款支出决算明细表</w:t>
      </w:r>
      <w:bookmarkEnd w:id="213"/>
      <w:bookmarkEnd w:id="214"/>
      <w:bookmarkEnd w:id="215"/>
      <w:bookmarkEnd w:id="216"/>
    </w:p>
    <w:p w:rsidR="008024BD" w:rsidRDefault="00C55684">
      <w:pPr>
        <w:pStyle w:val="2"/>
        <w:spacing w:line="560" w:lineRule="exact"/>
        <w:rPr>
          <w:rFonts w:ascii="仿宋" w:eastAsia="仿宋" w:hAnsi="仿宋"/>
        </w:rPr>
      </w:pPr>
      <w:bookmarkStart w:id="217" w:name="_Toc15396626"/>
      <w:bookmarkStart w:id="218" w:name="_Toc6261"/>
      <w:bookmarkStart w:id="219" w:name="_Toc13333_WPSOffice_Level2"/>
      <w:bookmarkStart w:id="220" w:name="_Toc26857"/>
      <w:r>
        <w:rPr>
          <w:rStyle w:val="22"/>
          <w:rFonts w:ascii="仿宋" w:eastAsia="仿宋" w:hAnsi="仿宋" w:hint="eastAsia"/>
        </w:rPr>
        <w:t>八、</w:t>
      </w:r>
      <w:r>
        <w:rPr>
          <w:rFonts w:ascii="仿宋" w:eastAsia="仿宋" w:hAnsi="仿宋" w:hint="eastAsia"/>
          <w:b w:val="0"/>
        </w:rPr>
        <w:t>一</w:t>
      </w:r>
      <w:r>
        <w:rPr>
          <w:rStyle w:val="22"/>
          <w:rFonts w:ascii="仿宋" w:eastAsia="仿宋" w:hAnsi="仿宋" w:hint="eastAsia"/>
        </w:rPr>
        <w:t>般公共预算财政拨款基本支出决算表</w:t>
      </w:r>
      <w:bookmarkEnd w:id="217"/>
      <w:bookmarkEnd w:id="218"/>
      <w:bookmarkEnd w:id="219"/>
      <w:bookmarkEnd w:id="220"/>
    </w:p>
    <w:p w:rsidR="008024BD" w:rsidRDefault="00C55684">
      <w:pPr>
        <w:pStyle w:val="2"/>
        <w:spacing w:line="560" w:lineRule="exact"/>
        <w:rPr>
          <w:rFonts w:ascii="仿宋" w:eastAsia="仿宋" w:hAnsi="仿宋"/>
        </w:rPr>
      </w:pPr>
      <w:bookmarkStart w:id="221" w:name="_Toc15396627"/>
      <w:bookmarkStart w:id="222" w:name="_Toc27866"/>
      <w:bookmarkStart w:id="223" w:name="_Toc3243_WPSOffice_Level2"/>
      <w:bookmarkStart w:id="224" w:name="_Toc16400"/>
      <w:r>
        <w:rPr>
          <w:rStyle w:val="22"/>
          <w:rFonts w:ascii="仿宋" w:eastAsia="仿宋" w:hAnsi="仿宋" w:hint="eastAsia"/>
        </w:rPr>
        <w:t>九、</w:t>
      </w:r>
      <w:r>
        <w:rPr>
          <w:rFonts w:ascii="仿宋" w:eastAsia="仿宋" w:hAnsi="仿宋" w:hint="eastAsia"/>
          <w:b w:val="0"/>
        </w:rPr>
        <w:t>一</w:t>
      </w:r>
      <w:r>
        <w:rPr>
          <w:rStyle w:val="22"/>
          <w:rFonts w:ascii="仿宋" w:eastAsia="仿宋" w:hAnsi="仿宋" w:hint="eastAsia"/>
        </w:rPr>
        <w:t>般公共预算财政拨款项目支出决算表</w:t>
      </w:r>
      <w:bookmarkEnd w:id="221"/>
      <w:bookmarkEnd w:id="222"/>
      <w:bookmarkEnd w:id="223"/>
      <w:bookmarkEnd w:id="224"/>
    </w:p>
    <w:p w:rsidR="008024BD" w:rsidRDefault="00C55684">
      <w:pPr>
        <w:pStyle w:val="2"/>
        <w:spacing w:line="560" w:lineRule="exact"/>
        <w:rPr>
          <w:rFonts w:ascii="仿宋" w:eastAsia="仿宋" w:hAnsi="仿宋"/>
        </w:rPr>
      </w:pPr>
      <w:bookmarkStart w:id="225" w:name="_Toc15396628"/>
      <w:bookmarkStart w:id="226" w:name="_Toc10875"/>
      <w:bookmarkStart w:id="227" w:name="_Toc31754_WPSOffice_Level2"/>
      <w:bookmarkStart w:id="228" w:name="_Toc2997"/>
      <w:r>
        <w:rPr>
          <w:rStyle w:val="22"/>
          <w:rFonts w:ascii="仿宋" w:eastAsia="仿宋" w:hAnsi="仿宋" w:hint="eastAsia"/>
        </w:rPr>
        <w:t>十、</w:t>
      </w:r>
      <w:bookmarkEnd w:id="225"/>
      <w:r>
        <w:rPr>
          <w:rFonts w:ascii="仿宋" w:eastAsia="仿宋" w:hAnsi="仿宋" w:hint="eastAsia"/>
          <w:b w:val="0"/>
        </w:rPr>
        <w:t>政</w:t>
      </w:r>
      <w:r>
        <w:rPr>
          <w:rStyle w:val="22"/>
          <w:rFonts w:ascii="仿宋" w:eastAsia="仿宋" w:hAnsi="仿宋" w:hint="eastAsia"/>
        </w:rPr>
        <w:t>府性基金预算财政拨款收入支出决算表</w:t>
      </w:r>
      <w:bookmarkEnd w:id="226"/>
      <w:bookmarkEnd w:id="227"/>
      <w:bookmarkEnd w:id="228"/>
    </w:p>
    <w:p w:rsidR="008024BD" w:rsidRDefault="00C55684">
      <w:pPr>
        <w:pStyle w:val="2"/>
        <w:spacing w:line="560" w:lineRule="exact"/>
        <w:rPr>
          <w:rFonts w:ascii="仿宋" w:eastAsia="仿宋" w:hAnsi="仿宋"/>
        </w:rPr>
      </w:pPr>
      <w:bookmarkStart w:id="229" w:name="_Toc15396629"/>
      <w:bookmarkStart w:id="230" w:name="_Toc6299"/>
      <w:bookmarkStart w:id="231" w:name="_Toc13750_WPSOffice_Level2"/>
      <w:bookmarkStart w:id="232" w:name="_Toc10916"/>
      <w:r>
        <w:rPr>
          <w:rStyle w:val="22"/>
          <w:rFonts w:ascii="仿宋" w:eastAsia="仿宋" w:hAnsi="仿宋" w:hint="eastAsia"/>
        </w:rPr>
        <w:t>十一、</w:t>
      </w:r>
      <w:bookmarkEnd w:id="229"/>
      <w:r>
        <w:rPr>
          <w:rFonts w:ascii="仿宋" w:eastAsia="仿宋" w:hAnsi="仿宋" w:hint="eastAsia"/>
          <w:b w:val="0"/>
        </w:rPr>
        <w:t>国</w:t>
      </w:r>
      <w:r>
        <w:rPr>
          <w:rStyle w:val="22"/>
          <w:rFonts w:ascii="仿宋" w:eastAsia="仿宋" w:hAnsi="仿宋" w:hint="eastAsia"/>
        </w:rPr>
        <w:t>有资本经营预算财政拨款收入支出决算表</w:t>
      </w:r>
      <w:bookmarkEnd w:id="230"/>
      <w:bookmarkEnd w:id="231"/>
      <w:r>
        <w:rPr>
          <w:rStyle w:val="2Char"/>
          <w:rFonts w:ascii="仿宋" w:eastAsia="仿宋" w:hAnsi="仿宋" w:hint="eastAsia"/>
        </w:rPr>
        <w:t>（此表无数据）</w:t>
      </w:r>
      <w:bookmarkEnd w:id="232"/>
    </w:p>
    <w:p w:rsidR="008024BD" w:rsidRDefault="00C55684">
      <w:pPr>
        <w:pStyle w:val="2"/>
        <w:spacing w:line="560" w:lineRule="exact"/>
        <w:rPr>
          <w:rFonts w:ascii="仿宋" w:eastAsia="仿宋" w:hAnsi="仿宋"/>
        </w:rPr>
      </w:pPr>
      <w:bookmarkStart w:id="233" w:name="_Toc15396630"/>
      <w:bookmarkStart w:id="234" w:name="_Toc4833"/>
      <w:bookmarkStart w:id="235" w:name="_Toc22476_WPSOffice_Level2"/>
      <w:bookmarkStart w:id="236" w:name="_Toc10415"/>
      <w:r>
        <w:rPr>
          <w:rStyle w:val="22"/>
          <w:rFonts w:ascii="仿宋" w:eastAsia="仿宋" w:hAnsi="仿宋" w:hint="eastAsia"/>
        </w:rPr>
        <w:t>十二、</w:t>
      </w:r>
      <w:bookmarkEnd w:id="233"/>
      <w:r>
        <w:rPr>
          <w:rStyle w:val="22"/>
          <w:rFonts w:ascii="仿宋" w:eastAsia="仿宋" w:hAnsi="仿宋" w:hint="eastAsia"/>
        </w:rPr>
        <w:t>国有资本经营预算财政拨款支出决算表</w:t>
      </w:r>
      <w:bookmarkEnd w:id="234"/>
      <w:bookmarkEnd w:id="235"/>
      <w:r>
        <w:rPr>
          <w:rStyle w:val="2Char"/>
          <w:rFonts w:ascii="仿宋" w:eastAsia="仿宋" w:hAnsi="仿宋" w:hint="eastAsia"/>
        </w:rPr>
        <w:t>（此表无数据）</w:t>
      </w:r>
      <w:bookmarkEnd w:id="236"/>
    </w:p>
    <w:p w:rsidR="008024BD" w:rsidRDefault="00C55684">
      <w:pPr>
        <w:pStyle w:val="2"/>
        <w:spacing w:line="560" w:lineRule="exact"/>
        <w:rPr>
          <w:rFonts w:eastAsia="仿宋"/>
        </w:rPr>
      </w:pPr>
      <w:bookmarkStart w:id="237" w:name="_Toc15396631"/>
      <w:bookmarkStart w:id="238" w:name="_Toc26888"/>
      <w:bookmarkStart w:id="239" w:name="_Toc4327_WPSOffice_Level2"/>
      <w:bookmarkStart w:id="240" w:name="_Toc15543"/>
      <w:r>
        <w:rPr>
          <w:rStyle w:val="22"/>
          <w:rFonts w:ascii="仿宋" w:eastAsia="仿宋" w:hAnsi="仿宋" w:hint="eastAsia"/>
        </w:rPr>
        <w:t>十三、</w:t>
      </w:r>
      <w:bookmarkEnd w:id="237"/>
      <w:r>
        <w:rPr>
          <w:rStyle w:val="22"/>
          <w:rFonts w:ascii="仿宋" w:eastAsia="仿宋" w:hAnsi="仿宋" w:hint="eastAsia"/>
        </w:rPr>
        <w:t>财政拨款“三公”经费支出决算表</w:t>
      </w:r>
      <w:bookmarkEnd w:id="238"/>
      <w:bookmarkEnd w:id="239"/>
      <w:r>
        <w:rPr>
          <w:rStyle w:val="2Char"/>
          <w:rFonts w:ascii="仿宋" w:eastAsia="仿宋" w:hAnsi="仿宋" w:hint="eastAsia"/>
        </w:rPr>
        <w:t>（此表无数据）</w:t>
      </w:r>
      <w:bookmarkEnd w:id="240"/>
    </w:p>
    <w:p w:rsidR="008024BD" w:rsidRDefault="008024BD">
      <w:pPr>
        <w:pStyle w:val="2"/>
        <w:rPr>
          <w:rFonts w:eastAsia="仿宋"/>
        </w:rPr>
      </w:pPr>
    </w:p>
    <w:sectPr w:rsidR="008024BD">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271" w:rsidRDefault="00D72271">
      <w:r>
        <w:separator/>
      </w:r>
    </w:p>
  </w:endnote>
  <w:endnote w:type="continuationSeparator" w:id="0">
    <w:p w:rsidR="00D72271" w:rsidRDefault="00D7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84" w:rsidRDefault="00C55684">
    <w:pPr>
      <w:pStyle w:val="a7"/>
      <w:tabs>
        <w:tab w:val="clear" w:pos="4153"/>
        <w:tab w:val="left" w:pos="4971"/>
      </w:tabs>
      <w:jc w:val="both"/>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EndPr/>
                          <w:sdtContent>
                            <w:p w:rsidR="00C55684" w:rsidRDefault="00D72271">
                              <w:pPr>
                                <w:pStyle w:val="a7"/>
                                <w:jc w:val="center"/>
                              </w:pPr>
                            </w:p>
                          </w:sdtContent>
                        </w:sdt>
                        <w:p w:rsidR="00C55684" w:rsidRDefault="00C55684" w:rsidP="00BB5F01">
                          <w:pPr>
                            <w:pStyle w:val="a0"/>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994781956"/>
                    </w:sdtPr>
                    <w:sdtContent>
                      <w:p w:rsidR="00C55684" w:rsidRDefault="00C55684">
                        <w:pPr>
                          <w:pStyle w:val="a7"/>
                          <w:jc w:val="center"/>
                        </w:pPr>
                      </w:p>
                    </w:sdtContent>
                  </w:sdt>
                  <w:p w:rsidR="00C55684" w:rsidRDefault="00C55684" w:rsidP="00BB5F01">
                    <w:pPr>
                      <w:pStyle w:val="a0"/>
                      <w:spacing w:before="72"/>
                    </w:pPr>
                  </w:p>
                </w:txbxContent>
              </v:textbox>
              <w10:wrap anchorx="margin"/>
            </v:shape>
          </w:pict>
        </mc:Fallback>
      </mc:AlternateContent>
    </w:r>
  </w:p>
  <w:p w:rsidR="00C55684" w:rsidRDefault="00C556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84" w:rsidRDefault="00C55684">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6695727"/>
                          </w:sdtPr>
                          <w:sdtEndPr/>
                          <w:sdtContent>
                            <w:p w:rsidR="00C55684" w:rsidRDefault="00C55684">
                              <w:pPr>
                                <w:pStyle w:val="a7"/>
                                <w:jc w:val="center"/>
                              </w:pPr>
                              <w:r>
                                <w:fldChar w:fldCharType="begin"/>
                              </w:r>
                              <w:r>
                                <w:instrText>PAGE   \* MERGEFORMAT</w:instrText>
                              </w:r>
                              <w:r>
                                <w:fldChar w:fldCharType="separate"/>
                              </w:r>
                              <w:r w:rsidR="00C22388" w:rsidRPr="00C22388">
                                <w:rPr>
                                  <w:noProof/>
                                  <w:lang w:val="zh-CN"/>
                                </w:rPr>
                                <w:t>1</w:t>
                              </w:r>
                              <w:r>
                                <w:fldChar w:fldCharType="end"/>
                              </w:r>
                            </w:p>
                          </w:sdtContent>
                        </w:sdt>
                        <w:p w:rsidR="00C55684" w:rsidRDefault="00C55684" w:rsidP="00BB5F01">
                          <w:pPr>
                            <w:pStyle w:val="a0"/>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496695727"/>
                    </w:sdtPr>
                    <w:sdtEndPr/>
                    <w:sdtContent>
                      <w:p w:rsidR="00C55684" w:rsidRDefault="00C55684">
                        <w:pPr>
                          <w:pStyle w:val="a7"/>
                          <w:jc w:val="center"/>
                        </w:pPr>
                        <w:r>
                          <w:fldChar w:fldCharType="begin"/>
                        </w:r>
                        <w:r>
                          <w:instrText>PAGE   \* MERGEFORMAT</w:instrText>
                        </w:r>
                        <w:r>
                          <w:fldChar w:fldCharType="separate"/>
                        </w:r>
                        <w:r w:rsidR="00C22388" w:rsidRPr="00C22388">
                          <w:rPr>
                            <w:noProof/>
                            <w:lang w:val="zh-CN"/>
                          </w:rPr>
                          <w:t>1</w:t>
                        </w:r>
                        <w:r>
                          <w:fldChar w:fldCharType="end"/>
                        </w:r>
                      </w:p>
                    </w:sdtContent>
                  </w:sdt>
                  <w:p w:rsidR="00C55684" w:rsidRDefault="00C55684" w:rsidP="00BB5F01">
                    <w:pPr>
                      <w:pStyle w:val="a0"/>
                      <w:spacing w:before="72"/>
                    </w:pPr>
                  </w:p>
                </w:txbxContent>
              </v:textbox>
              <w10:wrap anchorx="margin"/>
            </v:shape>
          </w:pict>
        </mc:Fallback>
      </mc:AlternateContent>
    </w:r>
  </w:p>
  <w:p w:rsidR="00C55684" w:rsidRDefault="00C556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271" w:rsidRDefault="00D72271">
      <w:r>
        <w:separator/>
      </w:r>
    </w:p>
  </w:footnote>
  <w:footnote w:type="continuationSeparator" w:id="0">
    <w:p w:rsidR="00D72271" w:rsidRDefault="00D7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84" w:rsidRDefault="00C5568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D2587"/>
    <w:multiLevelType w:val="singleLevel"/>
    <w:tmpl w:val="8E5D2587"/>
    <w:lvl w:ilvl="0">
      <w:start w:val="2"/>
      <w:numFmt w:val="chineseCounting"/>
      <w:suff w:val="nothing"/>
      <w:lvlText w:val="（%1）"/>
      <w:lvlJc w:val="left"/>
      <w:rPr>
        <w:rFonts w:hint="eastAsia"/>
      </w:rPr>
    </w:lvl>
  </w:abstractNum>
  <w:abstractNum w:abstractNumId="1">
    <w:nsid w:val="93A2226C"/>
    <w:multiLevelType w:val="singleLevel"/>
    <w:tmpl w:val="93A2226C"/>
    <w:lvl w:ilvl="0">
      <w:start w:val="1"/>
      <w:numFmt w:val="chineseCounting"/>
      <w:suff w:val="nothing"/>
      <w:lvlText w:val="（%1）"/>
      <w:lvlJc w:val="left"/>
      <w:rPr>
        <w:rFonts w:hint="eastAsia"/>
      </w:rPr>
    </w:lvl>
  </w:abstractNum>
  <w:abstractNum w:abstractNumId="2">
    <w:nsid w:val="CC5F0B37"/>
    <w:multiLevelType w:val="singleLevel"/>
    <w:tmpl w:val="CC5F0B37"/>
    <w:lvl w:ilvl="0">
      <w:start w:val="3"/>
      <w:numFmt w:val="chineseCounting"/>
      <w:suff w:val="nothing"/>
      <w:lvlText w:val="（%1）"/>
      <w:lvlJc w:val="left"/>
      <w:rPr>
        <w:rFonts w:hint="eastAsia"/>
      </w:r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DEBEF323"/>
    <w:multiLevelType w:val="singleLevel"/>
    <w:tmpl w:val="DEBEF323"/>
    <w:lvl w:ilvl="0">
      <w:start w:val="4"/>
      <w:numFmt w:val="chineseCounting"/>
      <w:suff w:val="nothing"/>
      <w:lvlText w:val="（%1）"/>
      <w:lvlJc w:val="left"/>
      <w:rPr>
        <w:rFonts w:hint="eastAsia"/>
      </w:rPr>
    </w:lvl>
  </w:abstractNum>
  <w:abstractNum w:abstractNumId="5">
    <w:nsid w:val="E2FA047D"/>
    <w:multiLevelType w:val="singleLevel"/>
    <w:tmpl w:val="E2FA047D"/>
    <w:lvl w:ilvl="0">
      <w:start w:val="3"/>
      <w:numFmt w:val="chineseCounting"/>
      <w:suff w:val="space"/>
      <w:lvlText w:val="第%1部分"/>
      <w:lvlJc w:val="left"/>
      <w:rPr>
        <w:rFonts w:hint="eastAsia"/>
      </w:r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A25D844"/>
    <w:multiLevelType w:val="singleLevel"/>
    <w:tmpl w:val="1A25D844"/>
    <w:lvl w:ilvl="0">
      <w:start w:val="1"/>
      <w:numFmt w:val="decimal"/>
      <w:lvlText w:val="%1."/>
      <w:lvlJc w:val="left"/>
      <w:pPr>
        <w:tabs>
          <w:tab w:val="left" w:pos="312"/>
        </w:tabs>
      </w:pPr>
    </w:lvl>
  </w:abstractNum>
  <w:abstractNum w:abstractNumId="8">
    <w:nsid w:val="3DCA1628"/>
    <w:multiLevelType w:val="singleLevel"/>
    <w:tmpl w:val="3DCA1628"/>
    <w:lvl w:ilvl="0">
      <w:start w:val="2"/>
      <w:numFmt w:val="chineseCounting"/>
      <w:suff w:val="nothing"/>
      <w:lvlText w:val="（%1）"/>
      <w:lvlJc w:val="left"/>
      <w:rPr>
        <w:rFonts w:hint="eastAsia"/>
      </w:rPr>
    </w:lvl>
  </w:abstractNum>
  <w:abstractNum w:abstractNumId="9">
    <w:nsid w:val="5FE44F4E"/>
    <w:multiLevelType w:val="singleLevel"/>
    <w:tmpl w:val="5FE44F4E"/>
    <w:lvl w:ilvl="0">
      <w:start w:val="2"/>
      <w:numFmt w:val="decimal"/>
      <w:suff w:val="nothing"/>
      <w:lvlText w:val="%1．"/>
      <w:lvlJc w:val="left"/>
    </w:lvl>
  </w:abstractNum>
  <w:num w:numId="1">
    <w:abstractNumId w:val="6"/>
  </w:num>
  <w:num w:numId="2">
    <w:abstractNumId w:val="7"/>
  </w:num>
  <w:num w:numId="3">
    <w:abstractNumId w:val="3"/>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66D"/>
    <w:rsid w:val="000C3CA6"/>
    <w:rsid w:val="000D1267"/>
    <w:rsid w:val="000D1D50"/>
    <w:rsid w:val="000D5782"/>
    <w:rsid w:val="000E6613"/>
    <w:rsid w:val="000E7119"/>
    <w:rsid w:val="00114E9B"/>
    <w:rsid w:val="00136D0C"/>
    <w:rsid w:val="00142216"/>
    <w:rsid w:val="00144D6A"/>
    <w:rsid w:val="0014729F"/>
    <w:rsid w:val="001516E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86C2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20CB"/>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024BD"/>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5DB2"/>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5F01"/>
    <w:rsid w:val="00BC289F"/>
    <w:rsid w:val="00BC2D50"/>
    <w:rsid w:val="00BC5361"/>
    <w:rsid w:val="00BC5460"/>
    <w:rsid w:val="00BC6B50"/>
    <w:rsid w:val="00BD0E25"/>
    <w:rsid w:val="00BF5BD6"/>
    <w:rsid w:val="00C03E31"/>
    <w:rsid w:val="00C22388"/>
    <w:rsid w:val="00C33E72"/>
    <w:rsid w:val="00C354B2"/>
    <w:rsid w:val="00C35554"/>
    <w:rsid w:val="00C42709"/>
    <w:rsid w:val="00C52575"/>
    <w:rsid w:val="00C533CC"/>
    <w:rsid w:val="00C55684"/>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72271"/>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9522B33"/>
    <w:rsid w:val="09E86C5A"/>
    <w:rsid w:val="0A2032A3"/>
    <w:rsid w:val="0CC63BB8"/>
    <w:rsid w:val="0CF2783D"/>
    <w:rsid w:val="0E0B4CF0"/>
    <w:rsid w:val="0F98263C"/>
    <w:rsid w:val="101860EC"/>
    <w:rsid w:val="10C055FF"/>
    <w:rsid w:val="118107EC"/>
    <w:rsid w:val="11A439B9"/>
    <w:rsid w:val="13D50BC4"/>
    <w:rsid w:val="147501B3"/>
    <w:rsid w:val="16BB723D"/>
    <w:rsid w:val="19391926"/>
    <w:rsid w:val="1BE8440E"/>
    <w:rsid w:val="1CC01F19"/>
    <w:rsid w:val="1D155CEE"/>
    <w:rsid w:val="1E734014"/>
    <w:rsid w:val="1FF35744"/>
    <w:rsid w:val="210E32CD"/>
    <w:rsid w:val="21774389"/>
    <w:rsid w:val="22B31F11"/>
    <w:rsid w:val="230E4A8B"/>
    <w:rsid w:val="236070BE"/>
    <w:rsid w:val="23860B96"/>
    <w:rsid w:val="240371BF"/>
    <w:rsid w:val="241E7B47"/>
    <w:rsid w:val="299051C5"/>
    <w:rsid w:val="29FD04D3"/>
    <w:rsid w:val="2C8A61B5"/>
    <w:rsid w:val="2DF04E50"/>
    <w:rsid w:val="2E7A42A7"/>
    <w:rsid w:val="2F040D46"/>
    <w:rsid w:val="319F7F4E"/>
    <w:rsid w:val="320A3690"/>
    <w:rsid w:val="3304709D"/>
    <w:rsid w:val="34985128"/>
    <w:rsid w:val="35217CA4"/>
    <w:rsid w:val="36AA5135"/>
    <w:rsid w:val="376D39B2"/>
    <w:rsid w:val="37E16F03"/>
    <w:rsid w:val="38D469F0"/>
    <w:rsid w:val="3C225DB6"/>
    <w:rsid w:val="3D98207C"/>
    <w:rsid w:val="3E78745D"/>
    <w:rsid w:val="44E268DA"/>
    <w:rsid w:val="45420BCF"/>
    <w:rsid w:val="473B0557"/>
    <w:rsid w:val="48E03C0A"/>
    <w:rsid w:val="497F3310"/>
    <w:rsid w:val="4A627F82"/>
    <w:rsid w:val="4A8C749E"/>
    <w:rsid w:val="4B0E749A"/>
    <w:rsid w:val="4B4F25DA"/>
    <w:rsid w:val="4BE068DB"/>
    <w:rsid w:val="4D577224"/>
    <w:rsid w:val="4DEC4991"/>
    <w:rsid w:val="4EAB630A"/>
    <w:rsid w:val="4ECE2238"/>
    <w:rsid w:val="537E6D0A"/>
    <w:rsid w:val="55E14A31"/>
    <w:rsid w:val="57BF6F8A"/>
    <w:rsid w:val="5AF92295"/>
    <w:rsid w:val="5CD71FC4"/>
    <w:rsid w:val="6C2F0680"/>
    <w:rsid w:val="6C4A05C8"/>
    <w:rsid w:val="6E7E3605"/>
    <w:rsid w:val="6FF5CC65"/>
    <w:rsid w:val="705D2A32"/>
    <w:rsid w:val="70665AAC"/>
    <w:rsid w:val="715C0E4B"/>
    <w:rsid w:val="725D559F"/>
    <w:rsid w:val="72734D90"/>
    <w:rsid w:val="73AD73D5"/>
    <w:rsid w:val="73B6EB34"/>
    <w:rsid w:val="744731E5"/>
    <w:rsid w:val="768D497D"/>
    <w:rsid w:val="76E3355F"/>
    <w:rsid w:val="778769C8"/>
    <w:rsid w:val="77983BF8"/>
    <w:rsid w:val="796A29A5"/>
    <w:rsid w:val="79EE5BA4"/>
    <w:rsid w:val="7A894339"/>
    <w:rsid w:val="7EEF11D3"/>
    <w:rsid w:val="7EFF47D3"/>
    <w:rsid w:val="7FA30C79"/>
    <w:rsid w:val="7FB26C2D"/>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20">
    <w:name w:val="Body Text First Indent 2"/>
    <w:basedOn w:val="a4"/>
    <w:uiPriority w:val="99"/>
    <w:unhideWhenUsed/>
    <w:qFormat/>
    <w:pPr>
      <w:ind w:firstLineChars="200" w:firstLine="420"/>
    </w:p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1"/>
    <w:uiPriority w:val="99"/>
    <w:qFormat/>
    <w:rPr>
      <w:b/>
    </w:rPr>
  </w:style>
  <w:style w:type="character" w:styleId="ab">
    <w:name w:val="FollowedHyperlink"/>
    <w:basedOn w:val="a1"/>
    <w:uiPriority w:val="99"/>
    <w:semiHidden/>
    <w:unhideWhenUsed/>
    <w:rPr>
      <w:color w:val="954F72"/>
      <w:u w:val="single"/>
    </w:rPr>
  </w:style>
  <w:style w:type="character" w:styleId="ac">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2">
    <w:name w:val="标题 2 字符"/>
    <w:basedOn w:val="a1"/>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WPSOffice1">
    <w:name w:val="WPSOffice手动目录 1"/>
    <w:rPr>
      <w:rFonts w:ascii="Calibri" w:hAnsi="Calibri"/>
    </w:rPr>
  </w:style>
  <w:style w:type="paragraph" w:customStyle="1" w:styleId="WPSOffice2">
    <w:name w:val="WPSOffice手动目录 2"/>
    <w:pPr>
      <w:ind w:leftChars="200" w:left="200"/>
    </w:pPr>
    <w:rPr>
      <w:rFonts w:ascii="Calibri" w:hAnsi="Calibri"/>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qFormat/>
    <w:rPr>
      <w:rFonts w:ascii="宋体" w:hAnsi="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20">
    <w:name w:val="Body Text First Indent 2"/>
    <w:basedOn w:val="a4"/>
    <w:uiPriority w:val="99"/>
    <w:unhideWhenUsed/>
    <w:qFormat/>
    <w:pPr>
      <w:ind w:firstLineChars="200" w:firstLine="420"/>
    </w:p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1"/>
    <w:uiPriority w:val="99"/>
    <w:qFormat/>
    <w:rPr>
      <w:b/>
    </w:rPr>
  </w:style>
  <w:style w:type="character" w:styleId="ab">
    <w:name w:val="FollowedHyperlink"/>
    <w:basedOn w:val="a1"/>
    <w:uiPriority w:val="99"/>
    <w:semiHidden/>
    <w:unhideWhenUsed/>
    <w:rPr>
      <w:color w:val="954F72"/>
      <w:u w:val="single"/>
    </w:rPr>
  </w:style>
  <w:style w:type="character" w:styleId="ac">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2">
    <w:name w:val="标题 2 字符"/>
    <w:basedOn w:val="a1"/>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WPSOffice1">
    <w:name w:val="WPSOffice手动目录 1"/>
    <w:rPr>
      <w:rFonts w:ascii="Calibri" w:hAnsi="Calibri"/>
    </w:rPr>
  </w:style>
  <w:style w:type="paragraph" w:customStyle="1" w:styleId="WPSOffice2">
    <w:name w:val="WPSOffice手动目录 2"/>
    <w:pPr>
      <w:ind w:leftChars="200" w:left="200"/>
    </w:pPr>
    <w:rPr>
      <w:rFonts w:ascii="Calibri" w:hAnsi="Calibri"/>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1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1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161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325"/>
          <c:y val="0.144166666666667"/>
          <c:w val="0.83704999999999996"/>
          <c:h val="0.70440000000000003"/>
        </c:manualLayout>
      </c:layout>
      <c:barChart>
        <c:barDir val="col"/>
        <c:grouping val="clustered"/>
        <c:varyColors val="0"/>
        <c:ser>
          <c:idx val="0"/>
          <c:order val="0"/>
          <c:tx>
            <c:strRef>
              <c:f>Sheet1!$B$1</c:f>
              <c:strCache>
                <c:ptCount val="1"/>
                <c:pt idx="0">
                  <c:v>预算收入</c:v>
                </c:pt>
              </c:strCache>
            </c:strRef>
          </c:tx>
          <c:spPr>
            <a:solidFill>
              <a:schemeClr val="accent1"/>
            </a:solidFill>
            <a:ln>
              <a:noFill/>
            </a:ln>
            <a:effectLst/>
          </c:spPr>
          <c:invertIfNegative val="0"/>
          <c:dLbls>
            <c:dLbl>
              <c:idx val="1"/>
              <c:layout>
                <c:manualLayout>
                  <c:x val="-3.7499999999999999E-3"/>
                  <c:y val="-1.250000000000000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99222.09</c:v>
                </c:pt>
                <c:pt idx="1">
                  <c:v>104117.32</c:v>
                </c:pt>
              </c:numCache>
            </c:numRef>
          </c:val>
        </c:ser>
        <c:ser>
          <c:idx val="1"/>
          <c:order val="1"/>
          <c:tx>
            <c:strRef>
              <c:f>Sheet1!$C$1</c:f>
              <c:strCache>
                <c:ptCount val="1"/>
                <c:pt idx="0">
                  <c:v>预算支出</c:v>
                </c:pt>
              </c:strCache>
            </c:strRef>
          </c:tx>
          <c:spPr>
            <a:solidFill>
              <a:schemeClr val="accent2"/>
            </a:solidFill>
            <a:ln>
              <a:noFill/>
            </a:ln>
            <a:effectLst/>
          </c:spPr>
          <c:invertIfNegative val="0"/>
          <c:dLbls>
            <c:dLbl>
              <c:idx val="1"/>
              <c:layout>
                <c:manualLayout>
                  <c:x val="1.125E-2"/>
                  <c:y val="0.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95956.15</c:v>
                </c:pt>
                <c:pt idx="1">
                  <c:v>102701.35</c:v>
                </c:pt>
              </c:numCache>
            </c:numRef>
          </c:val>
        </c:ser>
        <c:ser>
          <c:idx val="2"/>
          <c:order val="2"/>
          <c:tx>
            <c:strRef>
              <c:f>Sheet1!#REF!</c:f>
              <c:strCache>
                <c:ptCount val="1"/>
              </c:strCache>
            </c:strRef>
          </c:tx>
          <c:spPr>
            <a:solidFill>
              <a:schemeClr val="accent3"/>
            </a:solidFill>
            <a:ln>
              <a:noFill/>
            </a:ln>
            <a:effectLst/>
          </c:spPr>
          <c:invertIfNegative val="0"/>
          <c:cat>
            <c:strRef>
              <c:f>Sheet1!$A$2:$A$3</c:f>
              <c:strCache>
                <c:ptCount val="2"/>
                <c:pt idx="0">
                  <c:v>2021年</c:v>
                </c:pt>
                <c:pt idx="1">
                  <c:v>2022年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56419328"/>
        <c:axId val="256420864"/>
      </c:barChart>
      <c:catAx>
        <c:axId val="256419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420864"/>
        <c:crosses val="autoZero"/>
        <c:auto val="1"/>
        <c:lblAlgn val="ctr"/>
        <c:lblOffset val="100"/>
        <c:noMultiLvlLbl val="0"/>
      </c:catAx>
      <c:valAx>
        <c:axId val="256420864"/>
        <c:scaling>
          <c:orientation val="minMax"/>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4193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165"/>
          <c:y val="8.7666666666666698E-2"/>
          <c:w val="0.59650000000000003"/>
          <c:h val="0.795333333333333"/>
        </c:manualLayout>
      </c:layout>
      <c:pieChart>
        <c:varyColors val="1"/>
        <c:ser>
          <c:idx val="0"/>
          <c:order val="0"/>
          <c:tx>
            <c:strRef>
              <c:f>Sheet1!$B$1</c:f>
              <c:strCache>
                <c:ptCount val="1"/>
                <c:pt idx="0">
                  <c:v>金额</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1.41246791575228E-2"/>
                  <c:y val="-1.1360571989508199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42480017083047"/>
                  <c:y val="1.1207318797389501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3551463017398899"/>
                  <c:y val="-2.8844362691920099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26401156306678902"/>
                  <c:y val="-1.4187244354725501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#,##0.00_ </c:formatCode>
                <c:ptCount val="4"/>
                <c:pt idx="0">
                  <c:v>3813.6</c:v>
                </c:pt>
                <c:pt idx="1">
                  <c:v>4000</c:v>
                </c:pt>
                <c:pt idx="2">
                  <c:v>94917.95</c:v>
                </c:pt>
                <c:pt idx="3">
                  <c:v>1385.77</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5889605035806401"/>
                  <c:y val="-0.2093169584641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4204630781257899"/>
                  <c:y val="-6.2275676064302296E-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#,##0.00_ </c:formatCode>
                <c:ptCount val="2"/>
                <c:pt idx="0">
                  <c:v>96565.14</c:v>
                </c:pt>
                <c:pt idx="1">
                  <c:v>6136.21</c:v>
                </c:pt>
              </c:numCache>
            </c:numRef>
          </c:val>
        </c:ser>
        <c:dLbls>
          <c:showLegendKey val="1"/>
          <c:showVal val="1"/>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#,##0.00_ </c:formatCode>
                <c:ptCount val="2"/>
                <c:pt idx="0">
                  <c:v>3626.81</c:v>
                </c:pt>
                <c:pt idx="1">
                  <c:v>4081.29</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#,##0.00_ </c:formatCode>
                <c:ptCount val="2"/>
                <c:pt idx="0">
                  <c:v>7813.6</c:v>
                </c:pt>
                <c:pt idx="1">
                  <c:v>8397.32</c:v>
                </c:pt>
              </c:numCache>
            </c:numRef>
          </c:val>
        </c:ser>
        <c:ser>
          <c:idx val="2"/>
          <c:order val="2"/>
          <c:tx>
            <c:strRef>
              <c:f>Sheet1!#REF!</c:f>
              <c:strCache>
                <c:ptCount val="1"/>
              </c:strCache>
            </c:strRef>
          </c:tx>
          <c:spPr>
            <a:solidFill>
              <a:schemeClr val="accent3"/>
            </a:solidFill>
            <a:ln>
              <a:noFill/>
            </a:ln>
            <a:effectLst/>
          </c:spPr>
          <c:invertIfNegative val="0"/>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2739456"/>
        <c:axId val="222745344"/>
      </c:barChart>
      <c:catAx>
        <c:axId val="222739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745344"/>
        <c:crosses val="autoZero"/>
        <c:auto val="1"/>
        <c:lblAlgn val="ctr"/>
        <c:lblOffset val="100"/>
        <c:noMultiLvlLbl val="0"/>
      </c:catAx>
      <c:valAx>
        <c:axId val="222745344"/>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7394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3702.66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4397.32</c:v>
                </c:pt>
              </c:numCache>
            </c:numRef>
          </c:val>
        </c:ser>
        <c:ser>
          <c:idx val="2"/>
          <c:order val="2"/>
          <c:tx>
            <c:strRef>
              <c:f>Sheet1!#REF!</c:f>
              <c:strCache>
                <c:ptCount val="1"/>
              </c:strCache>
            </c:strRef>
          </c:tx>
          <c:spPr>
            <a:solidFill>
              <a:schemeClr val="accent3"/>
            </a:solidFill>
            <a:ln>
              <a:noFill/>
            </a:ln>
            <a:effectLst/>
          </c:spPr>
          <c:invertIfNegative val="0"/>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3296128"/>
        <c:axId val="223302016"/>
      </c:barChart>
      <c:catAx>
        <c:axId val="223296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3302016"/>
        <c:crosses val="autoZero"/>
        <c:auto val="1"/>
        <c:lblAlgn val="ctr"/>
        <c:lblOffset val="100"/>
        <c:noMultiLvlLbl val="0"/>
      </c:catAx>
      <c:valAx>
        <c:axId val="22330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329612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22813036344100199"/>
                  <c:y val="3.7857182706558301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58239360797583"/>
                  <c:y val="7.4999999999999997E-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1.5770733197057699E-2"/>
                  <c:y val="-0.14159864486329499"/>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3.0323339337756199E-2"/>
                  <c:y val="7.8499993683420796E-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科学技术支出</c:v>
                </c:pt>
                <c:pt idx="2">
                  <c:v>社会保障和就业支出</c:v>
                </c:pt>
                <c:pt idx="3">
                  <c:v>卫生健康支出</c:v>
                </c:pt>
              </c:strCache>
            </c:strRef>
          </c:cat>
          <c:val>
            <c:numRef>
              <c:f>Sheet1!$B$2:$B$5</c:f>
              <c:numCache>
                <c:formatCode>#,##0.00_ </c:formatCode>
                <c:ptCount val="4"/>
                <c:pt idx="0">
                  <c:v>14.52</c:v>
                </c:pt>
                <c:pt idx="1">
                  <c:v>55</c:v>
                </c:pt>
                <c:pt idx="2">
                  <c:v>1665.51</c:v>
                </c:pt>
                <c:pt idx="3">
                  <c:v>2662.29</c:v>
                </c:pt>
              </c:numCache>
            </c:numRef>
          </c:val>
        </c:ser>
        <c:dLbls>
          <c:showLegendKey val="1"/>
          <c:showVal val="1"/>
          <c:showCatName val="1"/>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D8BE8-1AC7-4528-A95B-1BF330A9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2587</Words>
  <Characters>14747</Characters>
  <Application>Microsoft Office Word</Application>
  <DocSecurity>0</DocSecurity>
  <Lines>122</Lines>
  <Paragraphs>34</Paragraphs>
  <ScaleCrop>false</ScaleCrop>
  <Company>四川省财政厅</Company>
  <LinksUpToDate>false</LinksUpToDate>
  <CharactersWithSpaces>17300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梁晓红</cp:lastModifiedBy>
  <cp:revision>50</cp:revision>
  <cp:lastPrinted>2023-08-23T02:37:00Z</cp:lastPrinted>
  <dcterms:created xsi:type="dcterms:W3CDTF">2020-08-05T01:49:00Z</dcterms:created>
  <dcterms:modified xsi:type="dcterms:W3CDTF">2023-09-25T08:15:00Z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